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586"/>
        <w:gridCol w:w="2889"/>
      </w:tblGrid>
      <w:tr w:rsidR="00ED131E" w:rsidTr="00ED131E">
        <w:trPr>
          <w:trHeight w:val="200"/>
        </w:trPr>
        <w:tc>
          <w:tcPr>
            <w:tcW w:w="1285" w:type="dxa"/>
            <w:vMerge w:val="restart"/>
          </w:tcPr>
          <w:p w:rsidR="00ED131E" w:rsidRDefault="00ED131E" w:rsidP="00ED131E">
            <w:pPr>
              <w:pStyle w:val="AralkYok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57250" cy="8477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vMerge w:val="restart"/>
          </w:tcPr>
          <w:p w:rsidR="00ED131E" w:rsidRDefault="00ED131E" w:rsidP="00ED131E">
            <w:pPr>
              <w:pStyle w:val="AralkYok"/>
              <w:jc w:val="center"/>
              <w:rPr>
                <w:sz w:val="40"/>
                <w:szCs w:val="40"/>
              </w:rPr>
            </w:pPr>
          </w:p>
          <w:p w:rsidR="00ED131E" w:rsidRPr="008114A1" w:rsidRDefault="00ED131E" w:rsidP="00ED131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4A1">
              <w:rPr>
                <w:rFonts w:ascii="Times New Roman" w:hAnsi="Times New Roman" w:cs="Times New Roman"/>
                <w:b/>
                <w:sz w:val="28"/>
                <w:szCs w:val="28"/>
              </w:rPr>
              <w:t>TEMİZLİK PERSONELİ</w:t>
            </w:r>
          </w:p>
        </w:tc>
        <w:tc>
          <w:tcPr>
            <w:tcW w:w="2971" w:type="dxa"/>
          </w:tcPr>
          <w:p w:rsidR="00ED131E" w:rsidRDefault="00ED131E" w:rsidP="00ED131E">
            <w:pPr>
              <w:pStyle w:val="AralkYok"/>
            </w:pPr>
            <w:r>
              <w:t>Doküman No:</w:t>
            </w:r>
          </w:p>
        </w:tc>
      </w:tr>
      <w:tr w:rsidR="00ED131E" w:rsidTr="00ED131E">
        <w:trPr>
          <w:trHeight w:val="147"/>
        </w:trPr>
        <w:tc>
          <w:tcPr>
            <w:tcW w:w="1285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4709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2971" w:type="dxa"/>
          </w:tcPr>
          <w:p w:rsidR="00ED131E" w:rsidRDefault="00ED131E" w:rsidP="00ED131E">
            <w:pPr>
              <w:pStyle w:val="AralkYok"/>
            </w:pPr>
            <w:r>
              <w:t>İlk Yayın Tarihi:</w:t>
            </w:r>
          </w:p>
        </w:tc>
      </w:tr>
      <w:tr w:rsidR="00ED131E" w:rsidTr="00ED131E">
        <w:trPr>
          <w:trHeight w:val="225"/>
        </w:trPr>
        <w:tc>
          <w:tcPr>
            <w:tcW w:w="1285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4709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2971" w:type="dxa"/>
          </w:tcPr>
          <w:p w:rsidR="00ED131E" w:rsidRDefault="00ED131E" w:rsidP="00ED131E">
            <w:pPr>
              <w:pStyle w:val="AralkYok"/>
            </w:pPr>
            <w:r>
              <w:t>Revizyon Tarihi:</w:t>
            </w:r>
          </w:p>
        </w:tc>
      </w:tr>
      <w:tr w:rsidR="00ED131E" w:rsidTr="00ED131E">
        <w:trPr>
          <w:trHeight w:val="277"/>
        </w:trPr>
        <w:tc>
          <w:tcPr>
            <w:tcW w:w="1285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4709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2971" w:type="dxa"/>
          </w:tcPr>
          <w:p w:rsidR="00ED131E" w:rsidRDefault="00ED131E" w:rsidP="00ED131E">
            <w:pPr>
              <w:pStyle w:val="AralkYok"/>
            </w:pPr>
            <w:r>
              <w:t>Revizyon No:</w:t>
            </w:r>
          </w:p>
        </w:tc>
      </w:tr>
      <w:tr w:rsidR="00ED131E" w:rsidTr="00ED131E">
        <w:trPr>
          <w:trHeight w:val="40"/>
        </w:trPr>
        <w:tc>
          <w:tcPr>
            <w:tcW w:w="1285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4709" w:type="dxa"/>
            <w:vMerge/>
          </w:tcPr>
          <w:p w:rsidR="00ED131E" w:rsidRDefault="00ED131E" w:rsidP="00ED131E">
            <w:pPr>
              <w:pStyle w:val="AralkYok"/>
            </w:pPr>
          </w:p>
        </w:tc>
        <w:tc>
          <w:tcPr>
            <w:tcW w:w="2971" w:type="dxa"/>
          </w:tcPr>
          <w:p w:rsidR="00ED131E" w:rsidRDefault="00ED131E" w:rsidP="00ED131E">
            <w:pPr>
              <w:pStyle w:val="AralkYok"/>
            </w:pPr>
            <w:r>
              <w:t>Sayfa:</w:t>
            </w:r>
          </w:p>
        </w:tc>
      </w:tr>
    </w:tbl>
    <w:p w:rsidR="005E28AC" w:rsidRDefault="005E28AC"/>
    <w:p w:rsidR="00ED131E" w:rsidRDefault="00ED131E" w:rsidP="00ED131E">
      <w:pPr>
        <w:tabs>
          <w:tab w:val="left" w:pos="3752"/>
        </w:tabs>
        <w:spacing w:before="90"/>
        <w:ind w:left="212"/>
        <w:rPr>
          <w:sz w:val="24"/>
        </w:rPr>
      </w:pPr>
      <w:r>
        <w:rPr>
          <w:b/>
          <w:sz w:val="24"/>
        </w:rPr>
        <w:t>ORGANİZASYONDAKİ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YERİ</w:t>
      </w:r>
      <w:r>
        <w:rPr>
          <w:b/>
          <w:sz w:val="24"/>
        </w:rPr>
        <w:tab/>
        <w:t xml:space="preserve">: </w:t>
      </w:r>
      <w:r>
        <w:rPr>
          <w:sz w:val="24"/>
        </w:rPr>
        <w:t>Destek Hizmetleri Şube Müdürüne bağlı olarak görev</w:t>
      </w:r>
      <w:r>
        <w:rPr>
          <w:spacing w:val="-6"/>
          <w:sz w:val="24"/>
        </w:rPr>
        <w:t xml:space="preserve"> </w:t>
      </w:r>
      <w:r>
        <w:rPr>
          <w:sz w:val="24"/>
        </w:rPr>
        <w:t>yapar.</w:t>
      </w:r>
    </w:p>
    <w:p w:rsidR="00ED131E" w:rsidRDefault="00ED131E" w:rsidP="00ED131E">
      <w:pPr>
        <w:pStyle w:val="GvdeMetni"/>
        <w:spacing w:before="3"/>
        <w:rPr>
          <w:sz w:val="21"/>
        </w:rPr>
      </w:pPr>
    </w:p>
    <w:p w:rsidR="00ED131E" w:rsidRDefault="00ED131E" w:rsidP="00ED131E">
      <w:pPr>
        <w:pStyle w:val="Balk1"/>
        <w:tabs>
          <w:tab w:val="left" w:pos="5168"/>
        </w:tabs>
      </w:pPr>
      <w:r>
        <w:t>GÖREV, YETKİ</w:t>
      </w:r>
      <w:r>
        <w:rPr>
          <w:spacing w:val="-7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SORUMLULUKLARI</w:t>
      </w:r>
      <w:r>
        <w:tab/>
        <w:t>:</w:t>
      </w:r>
    </w:p>
    <w:p w:rsidR="00ED131E" w:rsidRDefault="00ED131E" w:rsidP="00ED131E">
      <w:pPr>
        <w:pStyle w:val="GvdeMetni"/>
        <w:spacing w:before="7"/>
        <w:rPr>
          <w:b/>
          <w:sz w:val="20"/>
        </w:rPr>
      </w:pP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before="1" w:line="352" w:lineRule="auto"/>
        <w:ind w:right="234" w:hanging="360"/>
        <w:rPr>
          <w:sz w:val="24"/>
        </w:rPr>
      </w:pPr>
      <w:r>
        <w:rPr>
          <w:sz w:val="24"/>
        </w:rPr>
        <w:t xml:space="preserve">Çalışma odalarındaki masa, sandalye, koltuk, dolap, etajer, sehpa, telefon vb. bütün eşya ve mefruşat, gerekli malzeme ve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edici maddelerle</w:t>
      </w:r>
      <w:r>
        <w:rPr>
          <w:spacing w:val="-5"/>
          <w:sz w:val="24"/>
        </w:rPr>
        <w:t xml:space="preserve"> </w:t>
      </w:r>
      <w:r>
        <w:rPr>
          <w:sz w:val="24"/>
        </w:rPr>
        <w:t>temizlemek.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line="352" w:lineRule="auto"/>
        <w:ind w:right="233" w:hanging="360"/>
        <w:rPr>
          <w:sz w:val="24"/>
        </w:rPr>
      </w:pPr>
      <w:r>
        <w:rPr>
          <w:sz w:val="24"/>
        </w:rPr>
        <w:t>Binada mevcut halıların tamamı emiş gücü yüksek sanayi tipi elektrik süpürgesi ile süpürmek.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before="6" w:line="352" w:lineRule="auto"/>
        <w:ind w:right="232" w:hanging="360"/>
        <w:rPr>
          <w:sz w:val="24"/>
        </w:rPr>
      </w:pPr>
      <w:r>
        <w:rPr>
          <w:sz w:val="24"/>
        </w:rPr>
        <w:t xml:space="preserve">Bilgisayar cihazlarının ve sistemlerinin bulunduğu mekanlarda toz kaldırmadan elektrikli süpürge ile süpürerek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edici katkı maddeli su ve paspas ile</w:t>
      </w:r>
      <w:r>
        <w:rPr>
          <w:spacing w:val="-8"/>
          <w:sz w:val="24"/>
        </w:rPr>
        <w:t xml:space="preserve"> </w:t>
      </w:r>
      <w:r>
        <w:rPr>
          <w:sz w:val="24"/>
        </w:rPr>
        <w:t>silmek.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line="357" w:lineRule="auto"/>
        <w:ind w:right="235" w:hanging="360"/>
        <w:rPr>
          <w:sz w:val="24"/>
        </w:rPr>
      </w:pPr>
      <w:r>
        <w:rPr>
          <w:sz w:val="24"/>
        </w:rPr>
        <w:t>Bilgisayarlar ve sistem odalarındaki cihazların temizliğini özel maddelerle personel kontrolünde yapmak. Çalışma odaları ve binada bulunan tüm çöpleri toplamak idarenin göstereceği yere depolamak.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before="0" w:line="352" w:lineRule="auto"/>
        <w:ind w:right="235" w:hanging="360"/>
        <w:rPr>
          <w:sz w:val="24"/>
        </w:rPr>
      </w:pPr>
      <w:proofErr w:type="gramStart"/>
      <w:r>
        <w:rPr>
          <w:sz w:val="24"/>
        </w:rPr>
        <w:t>Çöp kutuları temizlemek. Çöp kutuları ve sepetlerinin naylon torbaları yıprandığında anında değiştirmek.</w:t>
      </w:r>
      <w:proofErr w:type="gramEnd"/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line="355" w:lineRule="auto"/>
        <w:ind w:right="232" w:hanging="360"/>
        <w:rPr>
          <w:sz w:val="24"/>
        </w:rPr>
      </w:pPr>
      <w:r>
        <w:rPr>
          <w:sz w:val="24"/>
        </w:rPr>
        <w:t xml:space="preserve">Binada mevcut tüm tuvaletlerin; WC taşları lavabolar, pisuarlar günde en az iki defa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edici maddelerle temizlemek. Ayrıca her hafta </w:t>
      </w:r>
      <w:proofErr w:type="gramStart"/>
      <w:r>
        <w:rPr>
          <w:sz w:val="24"/>
        </w:rPr>
        <w:t>dezenfekte</w:t>
      </w:r>
      <w:proofErr w:type="gramEnd"/>
      <w:r>
        <w:rPr>
          <w:sz w:val="24"/>
        </w:rPr>
        <w:t xml:space="preserve"> edilerek tazyikli su makinası ile iç kısımları yıkamak. </w:t>
      </w:r>
      <w:proofErr w:type="gramStart"/>
      <w:r>
        <w:rPr>
          <w:sz w:val="24"/>
        </w:rPr>
        <w:t>Klozet kapakları, sıhhi tesisat ve armatürleri</w:t>
      </w:r>
      <w:r>
        <w:rPr>
          <w:spacing w:val="-18"/>
          <w:sz w:val="24"/>
        </w:rPr>
        <w:t xml:space="preserve"> </w:t>
      </w:r>
      <w:r>
        <w:rPr>
          <w:sz w:val="24"/>
        </w:rPr>
        <w:t>temizlemek.</w:t>
      </w:r>
      <w:proofErr w:type="gramEnd"/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before="8"/>
        <w:ind w:left="920" w:hanging="349"/>
        <w:rPr>
          <w:sz w:val="24"/>
        </w:rPr>
      </w:pPr>
      <w:r>
        <w:rPr>
          <w:sz w:val="24"/>
        </w:rPr>
        <w:t>Mevcut radyatör panelleri ile peteklerin temizliği</w:t>
      </w:r>
      <w:r>
        <w:rPr>
          <w:spacing w:val="-4"/>
          <w:sz w:val="24"/>
        </w:rPr>
        <w:t xml:space="preserve"> </w:t>
      </w:r>
      <w:r>
        <w:rPr>
          <w:sz w:val="24"/>
        </w:rPr>
        <w:t>yapmak.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before="138"/>
        <w:ind w:left="920" w:hanging="349"/>
        <w:rPr>
          <w:sz w:val="24"/>
        </w:rPr>
      </w:pPr>
      <w:r>
        <w:rPr>
          <w:sz w:val="24"/>
        </w:rPr>
        <w:t>Binaların giriş merdivenleri, paspasları, giriş kapısı ile camlarının temizliği</w:t>
      </w:r>
      <w:r>
        <w:rPr>
          <w:spacing w:val="-8"/>
          <w:sz w:val="24"/>
        </w:rPr>
        <w:t xml:space="preserve"> </w:t>
      </w:r>
      <w:r>
        <w:rPr>
          <w:sz w:val="24"/>
        </w:rPr>
        <w:t>yapmak.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before="135" w:line="357" w:lineRule="auto"/>
        <w:ind w:right="233" w:hanging="360"/>
        <w:rPr>
          <w:sz w:val="24"/>
        </w:rPr>
      </w:pPr>
      <w:r>
        <w:rPr>
          <w:sz w:val="24"/>
        </w:rPr>
        <w:t xml:space="preserve">Bina civarındaki bahçe, beton saha ve tretuvarında hiçbir zaman pislik, çamur, </w:t>
      </w:r>
      <w:proofErr w:type="gramStart"/>
      <w:r>
        <w:rPr>
          <w:sz w:val="24"/>
        </w:rPr>
        <w:t>kağıt</w:t>
      </w:r>
      <w:proofErr w:type="gramEnd"/>
      <w:r>
        <w:rPr>
          <w:sz w:val="24"/>
        </w:rPr>
        <w:t xml:space="preserve"> parçası, sigara izmariti, naylon poşet vs. bırakmamak. Karlı havalarda beton yol ve tretuvar ile merdiven ve açıktaki dış kullanım alanlarındaki kar ve buzları temizlemek ve gerekli hallerde buzlanmanın önlenmesi için tuzlama</w:t>
      </w:r>
      <w:r>
        <w:rPr>
          <w:spacing w:val="-1"/>
          <w:sz w:val="24"/>
        </w:rPr>
        <w:t xml:space="preserve"> </w:t>
      </w:r>
      <w:r>
        <w:rPr>
          <w:sz w:val="24"/>
        </w:rPr>
        <w:t>yapmak.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spacing w:before="1" w:line="352" w:lineRule="auto"/>
        <w:ind w:right="231" w:hanging="360"/>
        <w:rPr>
          <w:sz w:val="24"/>
        </w:rPr>
      </w:pPr>
      <w:r>
        <w:rPr>
          <w:sz w:val="24"/>
        </w:rPr>
        <w:t>Cilalanması uygun görülmeyen yerleri (merdiven ve ıslak zeminler) her gün deterjanlı su ile yıkamak ve paspas</w:t>
      </w:r>
      <w:r>
        <w:rPr>
          <w:spacing w:val="3"/>
          <w:sz w:val="24"/>
        </w:rPr>
        <w:t xml:space="preserve"> </w:t>
      </w:r>
      <w:r>
        <w:rPr>
          <w:sz w:val="24"/>
        </w:rPr>
        <w:t>yapmak.</w:t>
      </w:r>
    </w:p>
    <w:p w:rsidR="00ED131E" w:rsidRDefault="00ED131E" w:rsidP="00ED131E">
      <w:pPr>
        <w:pStyle w:val="ListeParagraf"/>
        <w:numPr>
          <w:ilvl w:val="0"/>
          <w:numId w:val="1"/>
        </w:numPr>
        <w:tabs>
          <w:tab w:val="left" w:pos="921"/>
        </w:tabs>
        <w:ind w:left="920" w:hanging="349"/>
        <w:rPr>
          <w:sz w:val="24"/>
        </w:rPr>
      </w:pPr>
      <w:r>
        <w:rPr>
          <w:sz w:val="24"/>
        </w:rPr>
        <w:t>Büro eşyalarının (masa, koltuk, etajer, kütüphane vs.) komple tozunu</w:t>
      </w:r>
      <w:r>
        <w:rPr>
          <w:spacing w:val="-2"/>
          <w:sz w:val="24"/>
        </w:rPr>
        <w:t xml:space="preserve"> </w:t>
      </w:r>
      <w:r>
        <w:rPr>
          <w:sz w:val="24"/>
        </w:rPr>
        <w:t>almak</w:t>
      </w:r>
    </w:p>
    <w:tbl>
      <w:tblPr>
        <w:tblW w:w="896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580"/>
        <w:gridCol w:w="2895"/>
      </w:tblGrid>
      <w:tr w:rsidR="00ED131E" w:rsidTr="000748E5">
        <w:trPr>
          <w:trHeight w:val="200"/>
        </w:trPr>
        <w:tc>
          <w:tcPr>
            <w:tcW w:w="1490" w:type="dxa"/>
            <w:vMerge w:val="restart"/>
          </w:tcPr>
          <w:p w:rsidR="00ED131E" w:rsidRDefault="00ED131E" w:rsidP="003149D7">
            <w:pPr>
              <w:pStyle w:val="AralkYok"/>
            </w:pPr>
            <w:r>
              <w:rPr>
                <w:noProof/>
                <w:lang w:eastAsia="tr-TR"/>
              </w:rPr>
              <w:lastRenderedPageBreak/>
              <w:drawing>
                <wp:inline distT="0" distB="0" distL="0" distR="0" wp14:anchorId="713A405F" wp14:editId="62C46AA8">
                  <wp:extent cx="857250" cy="847725"/>
                  <wp:effectExtent l="0" t="0" r="0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wew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0" w:type="dxa"/>
            <w:vMerge w:val="restart"/>
          </w:tcPr>
          <w:p w:rsidR="00ED131E" w:rsidRDefault="00ED131E" w:rsidP="003149D7">
            <w:pPr>
              <w:pStyle w:val="AralkYok"/>
              <w:jc w:val="center"/>
              <w:rPr>
                <w:sz w:val="40"/>
                <w:szCs w:val="40"/>
              </w:rPr>
            </w:pPr>
          </w:p>
          <w:p w:rsidR="00ED131E" w:rsidRPr="00ED131E" w:rsidRDefault="000748E5" w:rsidP="003149D7">
            <w:pPr>
              <w:pStyle w:val="AralkYok"/>
              <w:jc w:val="center"/>
              <w:rPr>
                <w:sz w:val="28"/>
                <w:szCs w:val="28"/>
              </w:rPr>
            </w:pPr>
            <w:r w:rsidRPr="008114A1">
              <w:rPr>
                <w:rFonts w:ascii="Times New Roman" w:hAnsi="Times New Roman" w:cs="Times New Roman"/>
                <w:b/>
                <w:sz w:val="28"/>
                <w:szCs w:val="28"/>
              </w:rPr>
              <w:t>TEMİZLİK PERSONELİ</w:t>
            </w:r>
          </w:p>
        </w:tc>
        <w:tc>
          <w:tcPr>
            <w:tcW w:w="2895" w:type="dxa"/>
          </w:tcPr>
          <w:p w:rsidR="00ED131E" w:rsidRDefault="00ED131E" w:rsidP="003149D7">
            <w:pPr>
              <w:pStyle w:val="AralkYok"/>
            </w:pPr>
            <w:r>
              <w:t>Doküman No:</w:t>
            </w:r>
          </w:p>
        </w:tc>
      </w:tr>
      <w:tr w:rsidR="00ED131E" w:rsidTr="000748E5">
        <w:trPr>
          <w:trHeight w:val="147"/>
        </w:trPr>
        <w:tc>
          <w:tcPr>
            <w:tcW w:w="149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458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2895" w:type="dxa"/>
          </w:tcPr>
          <w:p w:rsidR="00ED131E" w:rsidRDefault="00ED131E" w:rsidP="003149D7">
            <w:pPr>
              <w:pStyle w:val="AralkYok"/>
            </w:pPr>
            <w:r>
              <w:t>İlk Yayın Tarihi:</w:t>
            </w:r>
          </w:p>
        </w:tc>
      </w:tr>
      <w:tr w:rsidR="00ED131E" w:rsidTr="000748E5">
        <w:trPr>
          <w:trHeight w:val="225"/>
        </w:trPr>
        <w:tc>
          <w:tcPr>
            <w:tcW w:w="149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458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2895" w:type="dxa"/>
          </w:tcPr>
          <w:p w:rsidR="00ED131E" w:rsidRDefault="00ED131E" w:rsidP="003149D7">
            <w:pPr>
              <w:pStyle w:val="AralkYok"/>
            </w:pPr>
            <w:r>
              <w:t>Revizyon Tarihi:</w:t>
            </w:r>
          </w:p>
        </w:tc>
      </w:tr>
      <w:tr w:rsidR="00ED131E" w:rsidTr="000748E5">
        <w:trPr>
          <w:trHeight w:val="277"/>
        </w:trPr>
        <w:tc>
          <w:tcPr>
            <w:tcW w:w="149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458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2895" w:type="dxa"/>
          </w:tcPr>
          <w:p w:rsidR="00ED131E" w:rsidRDefault="00ED131E" w:rsidP="003149D7">
            <w:pPr>
              <w:pStyle w:val="AralkYok"/>
            </w:pPr>
            <w:r>
              <w:t>Revizyon No:</w:t>
            </w:r>
          </w:p>
        </w:tc>
      </w:tr>
      <w:tr w:rsidR="00ED131E" w:rsidTr="000748E5">
        <w:trPr>
          <w:trHeight w:val="40"/>
        </w:trPr>
        <w:tc>
          <w:tcPr>
            <w:tcW w:w="149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4580" w:type="dxa"/>
            <w:vMerge/>
          </w:tcPr>
          <w:p w:rsidR="00ED131E" w:rsidRDefault="00ED131E" w:rsidP="003149D7">
            <w:pPr>
              <w:pStyle w:val="AralkYok"/>
            </w:pPr>
          </w:p>
        </w:tc>
        <w:tc>
          <w:tcPr>
            <w:tcW w:w="2895" w:type="dxa"/>
          </w:tcPr>
          <w:p w:rsidR="00ED131E" w:rsidRDefault="00ED131E" w:rsidP="003149D7">
            <w:pPr>
              <w:pStyle w:val="AralkYok"/>
            </w:pPr>
            <w:r>
              <w:t>Sayfa:</w:t>
            </w:r>
          </w:p>
        </w:tc>
      </w:tr>
    </w:tbl>
    <w:p w:rsidR="00ED131E" w:rsidRDefault="00ED131E"/>
    <w:p w:rsidR="00ED131E" w:rsidRDefault="000748E5" w:rsidP="000748E5">
      <w:pPr>
        <w:pStyle w:val="ListeParagraf"/>
        <w:numPr>
          <w:ilvl w:val="0"/>
          <w:numId w:val="2"/>
        </w:numPr>
      </w:pPr>
      <w:r w:rsidRPr="000748E5">
        <w:rPr>
          <w:sz w:val="24"/>
        </w:rPr>
        <w:t>Radyatör peteklerini</w:t>
      </w:r>
      <w:r w:rsidRPr="000748E5">
        <w:rPr>
          <w:spacing w:val="-2"/>
          <w:sz w:val="24"/>
        </w:rPr>
        <w:t xml:space="preserve"> </w:t>
      </w:r>
      <w:r w:rsidRPr="000748E5">
        <w:rPr>
          <w:sz w:val="24"/>
        </w:rPr>
        <w:t>temizlemek</w:t>
      </w:r>
    </w:p>
    <w:p w:rsidR="00ED131E" w:rsidRPr="00ED131E" w:rsidRDefault="00ED131E" w:rsidP="00ED131E">
      <w:pPr>
        <w:numPr>
          <w:ilvl w:val="0"/>
          <w:numId w:val="1"/>
        </w:numPr>
      </w:pPr>
      <w:r w:rsidRPr="00ED131E">
        <w:t xml:space="preserve">Bina içerisinde koridor, tuvalet sahanlıkları, halı, </w:t>
      </w:r>
      <w:proofErr w:type="spellStart"/>
      <w:r w:rsidRPr="00ED131E">
        <w:t>halıfleks</w:t>
      </w:r>
      <w:proofErr w:type="spellEnd"/>
      <w:r w:rsidRPr="00ED131E">
        <w:t xml:space="preserve"> vb. yerleri elektrik süpürgesi ile temizlemek</w:t>
      </w:r>
    </w:p>
    <w:p w:rsidR="00ED131E" w:rsidRPr="00ED131E" w:rsidRDefault="00ED131E" w:rsidP="00ED131E">
      <w:pPr>
        <w:numPr>
          <w:ilvl w:val="0"/>
          <w:numId w:val="1"/>
        </w:numPr>
      </w:pPr>
      <w:r w:rsidRPr="00ED131E">
        <w:t xml:space="preserve">Mermer, </w:t>
      </w:r>
      <w:proofErr w:type="spellStart"/>
      <w:r w:rsidRPr="00ED131E">
        <w:t>laminat</w:t>
      </w:r>
      <w:proofErr w:type="spellEnd"/>
      <w:r w:rsidRPr="00ED131E">
        <w:t xml:space="preserve"> vs. ıslak ve sert zeminleri yıkayarak sert zemin cila makinası ile cilalamak.</w:t>
      </w:r>
    </w:p>
    <w:p w:rsidR="00ED131E" w:rsidRPr="00ED131E" w:rsidRDefault="00ED131E" w:rsidP="00ED131E">
      <w:pPr>
        <w:numPr>
          <w:ilvl w:val="0"/>
          <w:numId w:val="1"/>
        </w:numPr>
      </w:pPr>
      <w:r w:rsidRPr="00ED131E">
        <w:t xml:space="preserve">Tüm tuvalet fayanslarının, lavabolarının, pisuarların, tuvalet taşlarının deterjan ile </w:t>
      </w:r>
      <w:proofErr w:type="gramStart"/>
      <w:r w:rsidRPr="00ED131E">
        <w:t>dezenfekte</w:t>
      </w:r>
      <w:proofErr w:type="gramEnd"/>
      <w:r w:rsidRPr="00ED131E">
        <w:t xml:space="preserve"> etmek.</w:t>
      </w:r>
    </w:p>
    <w:p w:rsidR="00ED131E" w:rsidRPr="00ED131E" w:rsidRDefault="00ED131E" w:rsidP="00ED131E">
      <w:pPr>
        <w:numPr>
          <w:ilvl w:val="0"/>
          <w:numId w:val="1"/>
        </w:numPr>
      </w:pPr>
      <w:proofErr w:type="gramStart"/>
      <w:r w:rsidRPr="00ED131E">
        <w:t>Tüm camların ve aynaları silmek.</w:t>
      </w:r>
      <w:proofErr w:type="gramEnd"/>
    </w:p>
    <w:p w:rsidR="00ED131E" w:rsidRPr="00ED131E" w:rsidRDefault="00ED131E" w:rsidP="00ED131E">
      <w:pPr>
        <w:numPr>
          <w:ilvl w:val="0"/>
          <w:numId w:val="1"/>
        </w:numPr>
      </w:pPr>
      <w:r w:rsidRPr="00ED131E">
        <w:t>Malzeme, demirbaş, makine-teçhizat vb. eşya veya yükleri taşımak, yükleme ve boşaltma işlerini yapmak.</w:t>
      </w:r>
    </w:p>
    <w:p w:rsidR="00ED131E" w:rsidRPr="00ED131E" w:rsidRDefault="00ED131E" w:rsidP="00ED131E"/>
    <w:p w:rsidR="00ED131E" w:rsidRPr="00ED131E" w:rsidRDefault="00ED131E" w:rsidP="00ED131E"/>
    <w:p w:rsidR="00ED131E" w:rsidRPr="00ED131E" w:rsidRDefault="00ED131E" w:rsidP="00ED131E">
      <w:pPr>
        <w:rPr>
          <w:b/>
          <w:bCs/>
        </w:rPr>
      </w:pPr>
      <w:r w:rsidRPr="00ED131E">
        <w:rPr>
          <w:b/>
          <w:bCs/>
        </w:rPr>
        <w:t>GÖREVİN GEREKTİRDİĞİ NİTELİKLER:</w:t>
      </w:r>
    </w:p>
    <w:p w:rsidR="00ED131E" w:rsidRPr="00ED131E" w:rsidRDefault="00ED131E" w:rsidP="00ED131E">
      <w:pPr>
        <w:rPr>
          <w:b/>
        </w:rPr>
      </w:pPr>
    </w:p>
    <w:p w:rsidR="00ED131E" w:rsidRPr="00ED131E" w:rsidRDefault="00ED131E" w:rsidP="00ED131E">
      <w:pPr>
        <w:numPr>
          <w:ilvl w:val="0"/>
          <w:numId w:val="1"/>
        </w:numPr>
      </w:pPr>
      <w:r w:rsidRPr="00ED131E">
        <w:t>Hizmet sözleşmesinde öngörülen şartları taşımak,</w:t>
      </w:r>
    </w:p>
    <w:p w:rsidR="00ED131E" w:rsidRPr="00ED131E" w:rsidRDefault="00ED131E" w:rsidP="00ED131E">
      <w:pPr>
        <w:numPr>
          <w:ilvl w:val="0"/>
          <w:numId w:val="1"/>
        </w:numPr>
      </w:pPr>
      <w:r w:rsidRPr="00ED131E">
        <w:t>Görevinin gerektirdiği düzeyde iş deneyimine sahip olmak</w:t>
      </w:r>
    </w:p>
    <w:p w:rsidR="00ED131E" w:rsidRDefault="00ED131E">
      <w:bookmarkStart w:id="0" w:name="_GoBack"/>
      <w:bookmarkEnd w:id="0"/>
    </w:p>
    <w:sectPr w:rsidR="00ED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F1" w:rsidRDefault="003E1CF1" w:rsidP="00ED131E">
      <w:r>
        <w:separator/>
      </w:r>
    </w:p>
  </w:endnote>
  <w:endnote w:type="continuationSeparator" w:id="0">
    <w:p w:rsidR="003E1CF1" w:rsidRDefault="003E1CF1" w:rsidP="00ED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F1" w:rsidRDefault="003E1CF1" w:rsidP="00ED131E">
      <w:r>
        <w:separator/>
      </w:r>
    </w:p>
  </w:footnote>
  <w:footnote w:type="continuationSeparator" w:id="0">
    <w:p w:rsidR="003E1CF1" w:rsidRDefault="003E1CF1" w:rsidP="00ED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17C7"/>
    <w:multiLevelType w:val="hybridMultilevel"/>
    <w:tmpl w:val="CC22F2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1634"/>
    <w:multiLevelType w:val="hybridMultilevel"/>
    <w:tmpl w:val="0BF055A0"/>
    <w:lvl w:ilvl="0" w:tplc="60D65DFC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FC62C198">
      <w:numFmt w:val="bullet"/>
      <w:lvlText w:val="•"/>
      <w:lvlJc w:val="left"/>
      <w:pPr>
        <w:ind w:left="1854" w:hanging="348"/>
      </w:pPr>
      <w:rPr>
        <w:rFonts w:hint="default"/>
        <w:lang w:val="tr-TR" w:eastAsia="en-US" w:bidi="ar-SA"/>
      </w:rPr>
    </w:lvl>
    <w:lvl w:ilvl="2" w:tplc="9D8467A2">
      <w:numFmt w:val="bullet"/>
      <w:lvlText w:val="•"/>
      <w:lvlJc w:val="left"/>
      <w:pPr>
        <w:ind w:left="2769" w:hanging="348"/>
      </w:pPr>
      <w:rPr>
        <w:rFonts w:hint="default"/>
        <w:lang w:val="tr-TR" w:eastAsia="en-US" w:bidi="ar-SA"/>
      </w:rPr>
    </w:lvl>
    <w:lvl w:ilvl="3" w:tplc="4BC07386">
      <w:numFmt w:val="bullet"/>
      <w:lvlText w:val="•"/>
      <w:lvlJc w:val="left"/>
      <w:pPr>
        <w:ind w:left="3683" w:hanging="348"/>
      </w:pPr>
      <w:rPr>
        <w:rFonts w:hint="default"/>
        <w:lang w:val="tr-TR" w:eastAsia="en-US" w:bidi="ar-SA"/>
      </w:rPr>
    </w:lvl>
    <w:lvl w:ilvl="4" w:tplc="494EAE14">
      <w:numFmt w:val="bullet"/>
      <w:lvlText w:val="•"/>
      <w:lvlJc w:val="left"/>
      <w:pPr>
        <w:ind w:left="4598" w:hanging="348"/>
      </w:pPr>
      <w:rPr>
        <w:rFonts w:hint="default"/>
        <w:lang w:val="tr-TR" w:eastAsia="en-US" w:bidi="ar-SA"/>
      </w:rPr>
    </w:lvl>
    <w:lvl w:ilvl="5" w:tplc="DBC0D53C">
      <w:numFmt w:val="bullet"/>
      <w:lvlText w:val="•"/>
      <w:lvlJc w:val="left"/>
      <w:pPr>
        <w:ind w:left="5513" w:hanging="348"/>
      </w:pPr>
      <w:rPr>
        <w:rFonts w:hint="default"/>
        <w:lang w:val="tr-TR" w:eastAsia="en-US" w:bidi="ar-SA"/>
      </w:rPr>
    </w:lvl>
    <w:lvl w:ilvl="6" w:tplc="F48C525E">
      <w:numFmt w:val="bullet"/>
      <w:lvlText w:val="•"/>
      <w:lvlJc w:val="left"/>
      <w:pPr>
        <w:ind w:left="6427" w:hanging="348"/>
      </w:pPr>
      <w:rPr>
        <w:rFonts w:hint="default"/>
        <w:lang w:val="tr-TR" w:eastAsia="en-US" w:bidi="ar-SA"/>
      </w:rPr>
    </w:lvl>
    <w:lvl w:ilvl="7" w:tplc="5DAE3532">
      <w:numFmt w:val="bullet"/>
      <w:lvlText w:val="•"/>
      <w:lvlJc w:val="left"/>
      <w:pPr>
        <w:ind w:left="7342" w:hanging="348"/>
      </w:pPr>
      <w:rPr>
        <w:rFonts w:hint="default"/>
        <w:lang w:val="tr-TR" w:eastAsia="en-US" w:bidi="ar-SA"/>
      </w:rPr>
    </w:lvl>
    <w:lvl w:ilvl="8" w:tplc="460A6512">
      <w:numFmt w:val="bullet"/>
      <w:lvlText w:val="•"/>
      <w:lvlJc w:val="left"/>
      <w:pPr>
        <w:ind w:left="8257" w:hanging="34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1E"/>
    <w:rsid w:val="000748E5"/>
    <w:rsid w:val="003E1CF1"/>
    <w:rsid w:val="005E28AC"/>
    <w:rsid w:val="008114A1"/>
    <w:rsid w:val="009D043A"/>
    <w:rsid w:val="00E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D131E"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131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1"/>
    <w:rsid w:val="00ED13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D13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13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D131E"/>
    <w:pPr>
      <w:spacing w:before="7"/>
      <w:ind w:left="932" w:hanging="360"/>
      <w:jc w:val="both"/>
    </w:pPr>
  </w:style>
  <w:style w:type="paragraph" w:styleId="stbilgi">
    <w:name w:val="header"/>
    <w:basedOn w:val="Normal"/>
    <w:link w:val="stbilgiChar"/>
    <w:uiPriority w:val="99"/>
    <w:unhideWhenUsed/>
    <w:rsid w:val="00ED13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131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D13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131E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1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D131E"/>
    <w:pPr>
      <w:ind w:left="21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131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1"/>
    <w:rsid w:val="00ED13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D13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D13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D131E"/>
    <w:pPr>
      <w:spacing w:before="7"/>
      <w:ind w:left="932" w:hanging="360"/>
      <w:jc w:val="both"/>
    </w:pPr>
  </w:style>
  <w:style w:type="paragraph" w:styleId="stbilgi">
    <w:name w:val="header"/>
    <w:basedOn w:val="Normal"/>
    <w:link w:val="stbilgiChar"/>
    <w:uiPriority w:val="99"/>
    <w:unhideWhenUsed/>
    <w:rsid w:val="00ED13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131E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ED13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131E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2021-03-15T13:48:00Z</dcterms:created>
  <dcterms:modified xsi:type="dcterms:W3CDTF">2021-03-15T13:49:00Z</dcterms:modified>
</cp:coreProperties>
</file>