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5288"/>
        <w:gridCol w:w="1546"/>
        <w:gridCol w:w="1376"/>
      </w:tblGrid>
      <w:tr w:rsidR="002B656F">
        <w:trPr>
          <w:trHeight w:val="275"/>
        </w:trPr>
        <w:tc>
          <w:tcPr>
            <w:tcW w:w="1522" w:type="dxa"/>
            <w:vMerge w:val="restart"/>
          </w:tcPr>
          <w:p w:rsidR="002B656F" w:rsidRDefault="002B656F">
            <w:pPr>
              <w:pStyle w:val="TableParagraph"/>
              <w:spacing w:before="2"/>
              <w:ind w:left="0"/>
              <w:rPr>
                <w:sz w:val="12"/>
              </w:rPr>
            </w:pPr>
            <w:bookmarkStart w:id="0" w:name="_GoBack"/>
            <w:bookmarkEnd w:id="0"/>
          </w:p>
          <w:p w:rsidR="002B656F" w:rsidRDefault="0015556C">
            <w:pPr>
              <w:pStyle w:val="TableParagraph"/>
              <w:spacing w:before="0"/>
              <w:ind w:left="19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90575" cy="7715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vMerge w:val="restart"/>
          </w:tcPr>
          <w:p w:rsidR="002B656F" w:rsidRDefault="002B656F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2B656F" w:rsidRDefault="0015556C">
            <w:pPr>
              <w:pStyle w:val="TableParagraph"/>
              <w:spacing w:before="202"/>
              <w:ind w:left="798"/>
              <w:rPr>
                <w:b/>
                <w:sz w:val="28"/>
              </w:rPr>
            </w:pPr>
            <w:r>
              <w:rPr>
                <w:b/>
                <w:sz w:val="28"/>
              </w:rPr>
              <w:t>TAŞINIR KAYIT YETKİLİSİ</w:t>
            </w:r>
          </w:p>
        </w:tc>
        <w:tc>
          <w:tcPr>
            <w:tcW w:w="1546" w:type="dxa"/>
          </w:tcPr>
          <w:p w:rsidR="002B656F" w:rsidRDefault="0015556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376" w:type="dxa"/>
          </w:tcPr>
          <w:p w:rsidR="002B656F" w:rsidRDefault="002B656F" w:rsidP="0015556C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  <w:tr w:rsidR="002B656F">
        <w:trPr>
          <w:trHeight w:val="275"/>
        </w:trPr>
        <w:tc>
          <w:tcPr>
            <w:tcW w:w="1522" w:type="dxa"/>
            <w:vMerge/>
            <w:tcBorders>
              <w:top w:val="nil"/>
            </w:tcBorders>
          </w:tcPr>
          <w:p w:rsidR="002B656F" w:rsidRDefault="002B656F">
            <w:pPr>
              <w:rPr>
                <w:sz w:val="2"/>
                <w:szCs w:val="2"/>
              </w:rPr>
            </w:pPr>
          </w:p>
        </w:tc>
        <w:tc>
          <w:tcPr>
            <w:tcW w:w="5288" w:type="dxa"/>
            <w:vMerge/>
            <w:tcBorders>
              <w:top w:val="nil"/>
            </w:tcBorders>
          </w:tcPr>
          <w:p w:rsidR="002B656F" w:rsidRDefault="002B656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2B656F" w:rsidRDefault="0015556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376" w:type="dxa"/>
          </w:tcPr>
          <w:p w:rsidR="002B656F" w:rsidRDefault="002B656F" w:rsidP="0015556C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  <w:tr w:rsidR="002B656F">
        <w:trPr>
          <w:trHeight w:val="277"/>
        </w:trPr>
        <w:tc>
          <w:tcPr>
            <w:tcW w:w="1522" w:type="dxa"/>
            <w:vMerge/>
            <w:tcBorders>
              <w:top w:val="nil"/>
            </w:tcBorders>
          </w:tcPr>
          <w:p w:rsidR="002B656F" w:rsidRDefault="002B656F">
            <w:pPr>
              <w:rPr>
                <w:sz w:val="2"/>
                <w:szCs w:val="2"/>
              </w:rPr>
            </w:pPr>
          </w:p>
        </w:tc>
        <w:tc>
          <w:tcPr>
            <w:tcW w:w="5288" w:type="dxa"/>
            <w:vMerge/>
            <w:tcBorders>
              <w:top w:val="nil"/>
            </w:tcBorders>
          </w:tcPr>
          <w:p w:rsidR="002B656F" w:rsidRDefault="002B656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2B656F" w:rsidRDefault="0015556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76" w:type="dxa"/>
          </w:tcPr>
          <w:p w:rsidR="002B656F" w:rsidRDefault="002B656F" w:rsidP="0015556C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  <w:tr w:rsidR="002B656F">
        <w:trPr>
          <w:trHeight w:val="275"/>
        </w:trPr>
        <w:tc>
          <w:tcPr>
            <w:tcW w:w="1522" w:type="dxa"/>
            <w:vMerge/>
            <w:tcBorders>
              <w:top w:val="nil"/>
            </w:tcBorders>
          </w:tcPr>
          <w:p w:rsidR="002B656F" w:rsidRDefault="002B656F">
            <w:pPr>
              <w:rPr>
                <w:sz w:val="2"/>
                <w:szCs w:val="2"/>
              </w:rPr>
            </w:pPr>
          </w:p>
        </w:tc>
        <w:tc>
          <w:tcPr>
            <w:tcW w:w="5288" w:type="dxa"/>
            <w:vMerge/>
            <w:tcBorders>
              <w:top w:val="nil"/>
            </w:tcBorders>
          </w:tcPr>
          <w:p w:rsidR="002B656F" w:rsidRDefault="002B656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2B656F" w:rsidRDefault="0015556C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76" w:type="dxa"/>
          </w:tcPr>
          <w:p w:rsidR="002B656F" w:rsidRDefault="002B656F" w:rsidP="0015556C">
            <w:pPr>
              <w:pStyle w:val="TableParagraph"/>
              <w:spacing w:before="27"/>
              <w:ind w:left="0"/>
              <w:rPr>
                <w:rFonts w:ascii="Arial"/>
                <w:b/>
                <w:sz w:val="18"/>
              </w:rPr>
            </w:pPr>
          </w:p>
        </w:tc>
      </w:tr>
      <w:tr w:rsidR="002B656F">
        <w:trPr>
          <w:trHeight w:val="275"/>
        </w:trPr>
        <w:tc>
          <w:tcPr>
            <w:tcW w:w="1522" w:type="dxa"/>
            <w:vMerge/>
            <w:tcBorders>
              <w:top w:val="nil"/>
            </w:tcBorders>
          </w:tcPr>
          <w:p w:rsidR="002B656F" w:rsidRDefault="002B656F">
            <w:pPr>
              <w:rPr>
                <w:sz w:val="2"/>
                <w:szCs w:val="2"/>
              </w:rPr>
            </w:pPr>
          </w:p>
        </w:tc>
        <w:tc>
          <w:tcPr>
            <w:tcW w:w="5288" w:type="dxa"/>
            <w:vMerge/>
            <w:tcBorders>
              <w:top w:val="nil"/>
            </w:tcBorders>
          </w:tcPr>
          <w:p w:rsidR="002B656F" w:rsidRDefault="002B656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2B656F" w:rsidRDefault="0015556C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Sayfa</w:t>
            </w:r>
          </w:p>
        </w:tc>
        <w:tc>
          <w:tcPr>
            <w:tcW w:w="1376" w:type="dxa"/>
          </w:tcPr>
          <w:p w:rsidR="002B656F" w:rsidRDefault="002B656F" w:rsidP="0015556C">
            <w:pPr>
              <w:pStyle w:val="TableParagraph"/>
              <w:spacing w:before="27"/>
              <w:ind w:left="0"/>
              <w:rPr>
                <w:rFonts w:ascii="Arial"/>
                <w:b/>
                <w:sz w:val="18"/>
              </w:rPr>
            </w:pPr>
          </w:p>
        </w:tc>
      </w:tr>
    </w:tbl>
    <w:p w:rsidR="002B656F" w:rsidRDefault="002B656F">
      <w:pPr>
        <w:pStyle w:val="GvdeMetni"/>
        <w:ind w:left="0" w:firstLine="0"/>
        <w:rPr>
          <w:sz w:val="20"/>
        </w:rPr>
      </w:pPr>
    </w:p>
    <w:p w:rsidR="002B656F" w:rsidRDefault="0015556C">
      <w:pPr>
        <w:tabs>
          <w:tab w:val="left" w:pos="5198"/>
        </w:tabs>
        <w:spacing w:before="227"/>
        <w:ind w:left="292"/>
        <w:rPr>
          <w:sz w:val="24"/>
        </w:rPr>
      </w:pPr>
      <w:r>
        <w:rPr>
          <w:b/>
          <w:sz w:val="24"/>
        </w:rPr>
        <w:t>ORGANİZASYONDAKİ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YERİ</w:t>
      </w:r>
      <w:r>
        <w:rPr>
          <w:b/>
          <w:sz w:val="24"/>
        </w:rPr>
        <w:tab/>
        <w:t xml:space="preserve">: </w:t>
      </w:r>
      <w:r>
        <w:rPr>
          <w:sz w:val="24"/>
        </w:rPr>
        <w:t>Birim Amirine bağlı görev</w:t>
      </w:r>
      <w:r>
        <w:rPr>
          <w:spacing w:val="2"/>
          <w:sz w:val="24"/>
        </w:rPr>
        <w:t xml:space="preserve"> </w:t>
      </w:r>
      <w:r>
        <w:rPr>
          <w:sz w:val="24"/>
        </w:rPr>
        <w:t>yapar.</w:t>
      </w:r>
    </w:p>
    <w:p w:rsidR="002B656F" w:rsidRDefault="002B656F">
      <w:pPr>
        <w:pStyle w:val="GvdeMetni"/>
        <w:spacing w:before="11"/>
        <w:ind w:left="0" w:firstLine="0"/>
        <w:rPr>
          <w:sz w:val="21"/>
        </w:rPr>
      </w:pPr>
    </w:p>
    <w:p w:rsidR="002B656F" w:rsidRDefault="0015556C">
      <w:pPr>
        <w:pStyle w:val="Balk1"/>
        <w:tabs>
          <w:tab w:val="left" w:pos="5191"/>
        </w:tabs>
      </w:pPr>
      <w:bookmarkStart w:id="1" w:name="GÖREV,_YETKİ_VE_SORUMLULUKLAR_:"/>
      <w:bookmarkEnd w:id="1"/>
      <w:r>
        <w:t>GÖREV, YETKİ</w:t>
      </w:r>
      <w:r>
        <w:rPr>
          <w:spacing w:val="-1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SORUMLULUKLAR</w:t>
      </w:r>
      <w:r>
        <w:tab/>
        <w:t>:</w:t>
      </w:r>
    </w:p>
    <w:p w:rsidR="002B656F" w:rsidRDefault="002B656F">
      <w:pPr>
        <w:pStyle w:val="GvdeMetni"/>
        <w:spacing w:before="1"/>
        <w:ind w:left="0" w:firstLine="0"/>
        <w:rPr>
          <w:b/>
          <w:sz w:val="27"/>
        </w:rPr>
      </w:pP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spacing w:before="0" w:line="276" w:lineRule="auto"/>
        <w:ind w:right="203"/>
        <w:jc w:val="both"/>
        <w:rPr>
          <w:sz w:val="24"/>
        </w:rPr>
      </w:pPr>
      <w:r>
        <w:rPr>
          <w:sz w:val="24"/>
        </w:rPr>
        <w:t>Harcama birimince edinilen taşınırlardan muayene ve kabulü yapılanları cins ve niteliklerine göre sayarak, tartarak, ölçerek teslim almak, doğrudan tüketilmeyen ve kullanıma verilmeyen taşınırları sorumluluğundaki ambarlarda muhafaza</w:t>
      </w:r>
      <w:r>
        <w:rPr>
          <w:spacing w:val="-3"/>
          <w:sz w:val="24"/>
        </w:rPr>
        <w:t xml:space="preserve"> </w:t>
      </w:r>
      <w:r>
        <w:rPr>
          <w:sz w:val="24"/>
        </w:rPr>
        <w:t>etmek.</w:t>
      </w: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spacing w:before="37" w:line="276" w:lineRule="auto"/>
        <w:ind w:right="204"/>
        <w:jc w:val="both"/>
        <w:rPr>
          <w:sz w:val="24"/>
        </w:rPr>
      </w:pPr>
      <w:r>
        <w:rPr>
          <w:sz w:val="24"/>
        </w:rPr>
        <w:t>Muayene</w:t>
      </w:r>
      <w:r>
        <w:rPr>
          <w:spacing w:val="-18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kabul</w:t>
      </w:r>
      <w:r>
        <w:rPr>
          <w:spacing w:val="-16"/>
          <w:sz w:val="24"/>
        </w:rPr>
        <w:t xml:space="preserve"> </w:t>
      </w:r>
      <w:r>
        <w:rPr>
          <w:sz w:val="24"/>
        </w:rPr>
        <w:t>işlemi</w:t>
      </w:r>
      <w:r>
        <w:rPr>
          <w:spacing w:val="-14"/>
          <w:sz w:val="24"/>
        </w:rPr>
        <w:t xml:space="preserve"> </w:t>
      </w:r>
      <w:r>
        <w:rPr>
          <w:sz w:val="24"/>
        </w:rPr>
        <w:t>hemen</w:t>
      </w:r>
      <w:r>
        <w:rPr>
          <w:spacing w:val="-11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-17"/>
          <w:sz w:val="24"/>
        </w:rPr>
        <w:t xml:space="preserve"> </w:t>
      </w:r>
      <w:r>
        <w:rPr>
          <w:sz w:val="24"/>
        </w:rPr>
        <w:t>taşınırları</w:t>
      </w:r>
      <w:r>
        <w:rPr>
          <w:spacing w:val="-16"/>
          <w:sz w:val="24"/>
        </w:rPr>
        <w:t xml:space="preserve"> </w:t>
      </w:r>
      <w:r>
        <w:rPr>
          <w:sz w:val="24"/>
        </w:rPr>
        <w:t>kontrol</w:t>
      </w:r>
      <w:r>
        <w:rPr>
          <w:spacing w:val="-16"/>
          <w:sz w:val="24"/>
        </w:rPr>
        <w:t xml:space="preserve"> </w:t>
      </w:r>
      <w:r>
        <w:rPr>
          <w:sz w:val="24"/>
        </w:rPr>
        <w:t>ederek</w:t>
      </w:r>
      <w:r>
        <w:rPr>
          <w:spacing w:val="-17"/>
          <w:sz w:val="24"/>
        </w:rPr>
        <w:t xml:space="preserve"> </w:t>
      </w:r>
      <w:r>
        <w:rPr>
          <w:sz w:val="24"/>
        </w:rPr>
        <w:t>teslim</w:t>
      </w:r>
      <w:r>
        <w:rPr>
          <w:spacing w:val="-15"/>
          <w:sz w:val="24"/>
        </w:rPr>
        <w:t xml:space="preserve"> </w:t>
      </w:r>
      <w:r>
        <w:rPr>
          <w:sz w:val="24"/>
        </w:rPr>
        <w:t>almak,</w:t>
      </w:r>
      <w:r>
        <w:rPr>
          <w:spacing w:val="-17"/>
          <w:sz w:val="24"/>
        </w:rPr>
        <w:t xml:space="preserve"> </w:t>
      </w:r>
      <w:r>
        <w:rPr>
          <w:sz w:val="24"/>
        </w:rPr>
        <w:t>özellikleri nedeniyle kesin kabulleri belli bir dönem kullanıldıktan sonra yapılabilen sarf malzemeleri hariç olmak üzere, bunların kesin kabulü yapılmadan kullanıma verilmesini</w:t>
      </w:r>
      <w:r>
        <w:rPr>
          <w:spacing w:val="-7"/>
          <w:sz w:val="24"/>
        </w:rPr>
        <w:t xml:space="preserve"> </w:t>
      </w:r>
      <w:r>
        <w:rPr>
          <w:sz w:val="24"/>
        </w:rPr>
        <w:t>önlemek.</w:t>
      </w: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spacing w:before="36" w:line="276" w:lineRule="auto"/>
        <w:ind w:right="204"/>
        <w:jc w:val="both"/>
        <w:rPr>
          <w:sz w:val="24"/>
        </w:rPr>
      </w:pPr>
      <w:r>
        <w:rPr>
          <w:sz w:val="24"/>
        </w:rPr>
        <w:t>Taşınırların giriş ve çıkışına ilişkin kayıtları tutmak, bunlara ilişkin belge ve cetvelleri düzenlemek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taşınır</w:t>
      </w:r>
      <w:r>
        <w:rPr>
          <w:spacing w:val="-7"/>
          <w:sz w:val="24"/>
        </w:rPr>
        <w:t xml:space="preserve"> </w:t>
      </w:r>
      <w:r>
        <w:rPr>
          <w:sz w:val="24"/>
        </w:rPr>
        <w:t>mal</w:t>
      </w:r>
      <w:r>
        <w:rPr>
          <w:spacing w:val="-2"/>
          <w:sz w:val="24"/>
        </w:rPr>
        <w:t xml:space="preserve"> </w:t>
      </w:r>
      <w:r>
        <w:rPr>
          <w:sz w:val="24"/>
        </w:rPr>
        <w:t>yönetim</w:t>
      </w:r>
      <w:r>
        <w:rPr>
          <w:spacing w:val="-5"/>
          <w:sz w:val="24"/>
        </w:rPr>
        <w:t xml:space="preserve"> </w:t>
      </w:r>
      <w:r>
        <w:rPr>
          <w:sz w:val="24"/>
        </w:rPr>
        <w:t>hesap</w:t>
      </w:r>
      <w:r>
        <w:rPr>
          <w:spacing w:val="-6"/>
          <w:sz w:val="24"/>
        </w:rPr>
        <w:t xml:space="preserve"> </w:t>
      </w:r>
      <w:r>
        <w:rPr>
          <w:sz w:val="24"/>
        </w:rPr>
        <w:t>cetvellerini</w:t>
      </w:r>
      <w:r>
        <w:rPr>
          <w:spacing w:val="-5"/>
          <w:sz w:val="24"/>
        </w:rPr>
        <w:t xml:space="preserve"> </w:t>
      </w:r>
      <w:r>
        <w:rPr>
          <w:sz w:val="24"/>
        </w:rPr>
        <w:t>istenilmesi</w:t>
      </w:r>
      <w:r>
        <w:rPr>
          <w:spacing w:val="-4"/>
          <w:sz w:val="24"/>
        </w:rPr>
        <w:t xml:space="preserve"> </w:t>
      </w:r>
      <w:r>
        <w:rPr>
          <w:sz w:val="24"/>
        </w:rPr>
        <w:t>halinde</w:t>
      </w:r>
      <w:r>
        <w:rPr>
          <w:spacing w:val="-7"/>
          <w:sz w:val="24"/>
        </w:rPr>
        <w:t xml:space="preserve"> </w:t>
      </w:r>
      <w:r>
        <w:rPr>
          <w:sz w:val="24"/>
        </w:rPr>
        <w:t>konsolide</w:t>
      </w:r>
      <w:r>
        <w:rPr>
          <w:spacing w:val="-7"/>
          <w:sz w:val="24"/>
        </w:rPr>
        <w:t xml:space="preserve"> </w:t>
      </w:r>
      <w:r>
        <w:rPr>
          <w:sz w:val="24"/>
        </w:rPr>
        <w:t>görevlisine göndermek.</w:t>
      </w: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spacing w:before="37"/>
        <w:jc w:val="both"/>
        <w:rPr>
          <w:sz w:val="24"/>
        </w:rPr>
      </w:pPr>
      <w:r>
        <w:rPr>
          <w:sz w:val="24"/>
        </w:rPr>
        <w:t>Tüketime veya kullanıma verilmesi uygun görülen taşınırları ilgililere teslim</w:t>
      </w:r>
      <w:r>
        <w:rPr>
          <w:spacing w:val="-6"/>
          <w:sz w:val="24"/>
        </w:rPr>
        <w:t xml:space="preserve"> </w:t>
      </w:r>
      <w:r>
        <w:rPr>
          <w:sz w:val="24"/>
        </w:rPr>
        <w:t>etmek.</w:t>
      </w: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spacing w:before="76" w:line="273" w:lineRule="auto"/>
        <w:ind w:right="207"/>
        <w:rPr>
          <w:sz w:val="24"/>
        </w:rPr>
      </w:pPr>
      <w:r>
        <w:rPr>
          <w:sz w:val="24"/>
        </w:rPr>
        <w:t>Taşınırların yangına, ıslanmaya, bozulmaya, çalınmaya ve benzeri tehlikelere karşı korunması için gerekli tedbirleri almak ve alınmasını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spacing w:line="276" w:lineRule="auto"/>
        <w:ind w:right="205"/>
        <w:rPr>
          <w:sz w:val="24"/>
        </w:rPr>
      </w:pPr>
      <w:r>
        <w:rPr>
          <w:sz w:val="24"/>
        </w:rPr>
        <w:t>Ambarda çalınma veya olağanüstü nedenlerden dolayı meydana gelen azalmaları harcama yetkilisine</w:t>
      </w:r>
      <w:r>
        <w:rPr>
          <w:spacing w:val="-2"/>
          <w:sz w:val="24"/>
        </w:rPr>
        <w:t xml:space="preserve"> </w:t>
      </w:r>
      <w:r>
        <w:rPr>
          <w:sz w:val="24"/>
        </w:rPr>
        <w:t>bildirmek.</w:t>
      </w: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spacing w:before="35" w:line="273" w:lineRule="auto"/>
        <w:ind w:right="204"/>
        <w:rPr>
          <w:sz w:val="24"/>
        </w:rPr>
      </w:pPr>
      <w:r>
        <w:rPr>
          <w:sz w:val="24"/>
        </w:rPr>
        <w:t>Ambar sayımını ve stok kontrolünü yapmak, harcama yetkilisince belirlenen asgari stok seviyesinin altına düşen taşınırları harcama yetkilisine</w:t>
      </w:r>
      <w:r>
        <w:rPr>
          <w:spacing w:val="-1"/>
          <w:sz w:val="24"/>
        </w:rPr>
        <w:t xml:space="preserve"> </w:t>
      </w:r>
      <w:r>
        <w:rPr>
          <w:sz w:val="24"/>
        </w:rPr>
        <w:t>bildirmek.</w:t>
      </w: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spacing w:line="273" w:lineRule="auto"/>
        <w:ind w:right="207"/>
        <w:rPr>
          <w:sz w:val="24"/>
        </w:rPr>
      </w:pPr>
      <w:r>
        <w:rPr>
          <w:sz w:val="24"/>
        </w:rPr>
        <w:t>Kullanımda</w:t>
      </w:r>
      <w:r>
        <w:rPr>
          <w:spacing w:val="-19"/>
          <w:sz w:val="24"/>
        </w:rPr>
        <w:t xml:space="preserve"> </w:t>
      </w:r>
      <w:r>
        <w:rPr>
          <w:sz w:val="24"/>
        </w:rPr>
        <w:t>bulunan</w:t>
      </w:r>
      <w:r>
        <w:rPr>
          <w:spacing w:val="-18"/>
          <w:sz w:val="24"/>
        </w:rPr>
        <w:t xml:space="preserve"> </w:t>
      </w:r>
      <w:r>
        <w:rPr>
          <w:sz w:val="24"/>
        </w:rPr>
        <w:t>dayanıklı</w:t>
      </w:r>
      <w:r>
        <w:rPr>
          <w:spacing w:val="-17"/>
          <w:sz w:val="24"/>
        </w:rPr>
        <w:t xml:space="preserve"> </w:t>
      </w:r>
      <w:r>
        <w:rPr>
          <w:sz w:val="24"/>
        </w:rPr>
        <w:t>taşınırları</w:t>
      </w:r>
      <w:r>
        <w:rPr>
          <w:spacing w:val="-17"/>
          <w:sz w:val="24"/>
        </w:rPr>
        <w:t xml:space="preserve"> </w:t>
      </w:r>
      <w:r>
        <w:rPr>
          <w:sz w:val="24"/>
        </w:rPr>
        <w:t>bulundukları</w:t>
      </w:r>
      <w:r>
        <w:rPr>
          <w:spacing w:val="-13"/>
          <w:sz w:val="24"/>
        </w:rPr>
        <w:t xml:space="preserve"> </w:t>
      </w:r>
      <w:r>
        <w:rPr>
          <w:sz w:val="24"/>
        </w:rPr>
        <w:t>yerde</w:t>
      </w:r>
      <w:r>
        <w:rPr>
          <w:spacing w:val="-19"/>
          <w:sz w:val="24"/>
        </w:rPr>
        <w:t xml:space="preserve"> </w:t>
      </w:r>
      <w:r>
        <w:rPr>
          <w:sz w:val="24"/>
        </w:rPr>
        <w:t>kontrol</w:t>
      </w:r>
      <w:r>
        <w:rPr>
          <w:spacing w:val="-17"/>
          <w:sz w:val="24"/>
        </w:rPr>
        <w:t xml:space="preserve"> </w:t>
      </w:r>
      <w:r>
        <w:rPr>
          <w:sz w:val="24"/>
        </w:rPr>
        <w:t>etmek,</w:t>
      </w:r>
      <w:r>
        <w:rPr>
          <w:spacing w:val="-15"/>
          <w:sz w:val="24"/>
        </w:rPr>
        <w:t xml:space="preserve"> </w:t>
      </w:r>
      <w:r>
        <w:rPr>
          <w:sz w:val="24"/>
        </w:rPr>
        <w:t>sayımlarını</w:t>
      </w:r>
      <w:r>
        <w:rPr>
          <w:spacing w:val="-13"/>
          <w:sz w:val="24"/>
        </w:rPr>
        <w:t xml:space="preserve"> </w:t>
      </w:r>
      <w:r>
        <w:rPr>
          <w:sz w:val="24"/>
        </w:rPr>
        <w:t>yapmak ve yaptırmak.</w:t>
      </w: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Harcama biriminin malzeme ihtiyaç planlamasının yapılmasına yardımcı</w:t>
      </w:r>
      <w:r>
        <w:rPr>
          <w:spacing w:val="-4"/>
          <w:sz w:val="24"/>
        </w:rPr>
        <w:t xml:space="preserve"> </w:t>
      </w:r>
      <w:r>
        <w:rPr>
          <w:sz w:val="24"/>
        </w:rPr>
        <w:t>olmak.</w:t>
      </w: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spacing w:before="76" w:line="276" w:lineRule="auto"/>
        <w:ind w:right="201"/>
        <w:rPr>
          <w:sz w:val="24"/>
        </w:rPr>
      </w:pPr>
      <w:r>
        <w:rPr>
          <w:sz w:val="24"/>
        </w:rPr>
        <w:t>Kayıtlarını tuttuğu taşınırların yönetim hesabını hazırlamak ve harcama yetkilisine sunulmak üzere taşınır kontrol yetkilisine teslim</w:t>
      </w:r>
      <w:r>
        <w:rPr>
          <w:spacing w:val="-10"/>
          <w:sz w:val="24"/>
        </w:rPr>
        <w:t xml:space="preserve"> </w:t>
      </w:r>
      <w:r>
        <w:rPr>
          <w:sz w:val="24"/>
        </w:rPr>
        <w:t>etmek.</w:t>
      </w: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spacing w:before="36" w:line="273" w:lineRule="auto"/>
        <w:ind w:right="206"/>
        <w:rPr>
          <w:sz w:val="24"/>
        </w:rPr>
      </w:pPr>
      <w:r>
        <w:rPr>
          <w:sz w:val="24"/>
        </w:rPr>
        <w:t>Ambarlarında kasıt, kusur, ihmal veya tedbirsizlikleri nedeniyle meydana gelen kayıp ve noksanlıklardan sorumlu</w:t>
      </w:r>
      <w:r>
        <w:rPr>
          <w:spacing w:val="1"/>
          <w:sz w:val="24"/>
        </w:rPr>
        <w:t xml:space="preserve"> </w:t>
      </w:r>
      <w:r>
        <w:rPr>
          <w:sz w:val="24"/>
        </w:rPr>
        <w:t>olmak.</w:t>
      </w:r>
    </w:p>
    <w:p w:rsidR="002B656F" w:rsidRDefault="0015556C">
      <w:pPr>
        <w:pStyle w:val="ListeParagraf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Ambarlarını devir ve teslim etmeden, görevlerinden</w:t>
      </w:r>
      <w:r>
        <w:rPr>
          <w:spacing w:val="-9"/>
          <w:sz w:val="24"/>
        </w:rPr>
        <w:t xml:space="preserve"> </w:t>
      </w:r>
      <w:r>
        <w:rPr>
          <w:sz w:val="24"/>
        </w:rPr>
        <w:t>ayrılmamak.</w:t>
      </w:r>
    </w:p>
    <w:p w:rsidR="002B656F" w:rsidRDefault="002B656F">
      <w:pPr>
        <w:pStyle w:val="GvdeMetni"/>
        <w:ind w:left="0" w:firstLine="0"/>
        <w:rPr>
          <w:sz w:val="28"/>
        </w:rPr>
      </w:pPr>
    </w:p>
    <w:p w:rsidR="002B656F" w:rsidRDefault="0015556C">
      <w:pPr>
        <w:pStyle w:val="Balk1"/>
        <w:spacing w:before="193"/>
      </w:pPr>
      <w:bookmarkStart w:id="2" w:name="GÖREVİN_GEREKTİRDİĞİ_NİTELİKLER_:"/>
      <w:bookmarkEnd w:id="2"/>
      <w:r>
        <w:t>GÖREVİN GEREKTİRDİĞİ NİTELİKLER :</w:t>
      </w:r>
    </w:p>
    <w:p w:rsidR="002B656F" w:rsidRDefault="002B656F">
      <w:pPr>
        <w:pStyle w:val="GvdeMetni"/>
        <w:spacing w:before="4"/>
        <w:ind w:left="0" w:firstLine="0"/>
        <w:rPr>
          <w:b/>
          <w:sz w:val="20"/>
        </w:rPr>
      </w:pPr>
    </w:p>
    <w:p w:rsidR="002B656F" w:rsidRDefault="0015556C">
      <w:pPr>
        <w:pStyle w:val="ListeParagraf"/>
        <w:numPr>
          <w:ilvl w:val="0"/>
          <w:numId w:val="1"/>
        </w:numPr>
        <w:tabs>
          <w:tab w:val="left" w:pos="780"/>
        </w:tabs>
        <w:spacing w:before="1"/>
        <w:ind w:left="780" w:hanging="265"/>
        <w:rPr>
          <w:sz w:val="24"/>
        </w:rPr>
      </w:pPr>
      <w:r>
        <w:rPr>
          <w:sz w:val="24"/>
        </w:rPr>
        <w:t>657 Sayılı Devlet Memurları Kanununa göre memur statüsünde</w:t>
      </w:r>
      <w:r>
        <w:rPr>
          <w:spacing w:val="-13"/>
          <w:sz w:val="24"/>
        </w:rPr>
        <w:t xml:space="preserve"> </w:t>
      </w:r>
      <w:r>
        <w:rPr>
          <w:sz w:val="24"/>
        </w:rPr>
        <w:t>olmak.</w:t>
      </w:r>
    </w:p>
    <w:p w:rsidR="002B656F" w:rsidRDefault="002B656F">
      <w:pPr>
        <w:spacing w:before="71"/>
        <w:ind w:left="103"/>
        <w:rPr>
          <w:i/>
          <w:sz w:val="16"/>
        </w:rPr>
      </w:pPr>
    </w:p>
    <w:sectPr w:rsidR="002B656F">
      <w:type w:val="continuous"/>
      <w:pgSz w:w="11920" w:h="16850"/>
      <w:pgMar w:top="70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186"/>
    <w:multiLevelType w:val="hybridMultilevel"/>
    <w:tmpl w:val="F5DE086A"/>
    <w:lvl w:ilvl="0" w:tplc="0E3EE428">
      <w:numFmt w:val="bullet"/>
      <w:lvlText w:val=""/>
      <w:lvlJc w:val="left"/>
      <w:pPr>
        <w:ind w:left="832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68194A">
      <w:numFmt w:val="bullet"/>
      <w:lvlText w:val="•"/>
      <w:lvlJc w:val="left"/>
      <w:pPr>
        <w:ind w:left="1767" w:hanging="286"/>
      </w:pPr>
      <w:rPr>
        <w:rFonts w:hint="default"/>
        <w:lang w:val="tr-TR" w:eastAsia="en-US" w:bidi="ar-SA"/>
      </w:rPr>
    </w:lvl>
    <w:lvl w:ilvl="2" w:tplc="A9A6B776">
      <w:numFmt w:val="bullet"/>
      <w:lvlText w:val="•"/>
      <w:lvlJc w:val="left"/>
      <w:pPr>
        <w:ind w:left="2694" w:hanging="286"/>
      </w:pPr>
      <w:rPr>
        <w:rFonts w:hint="default"/>
        <w:lang w:val="tr-TR" w:eastAsia="en-US" w:bidi="ar-SA"/>
      </w:rPr>
    </w:lvl>
    <w:lvl w:ilvl="3" w:tplc="C622A324">
      <w:numFmt w:val="bullet"/>
      <w:lvlText w:val="•"/>
      <w:lvlJc w:val="left"/>
      <w:pPr>
        <w:ind w:left="3621" w:hanging="286"/>
      </w:pPr>
      <w:rPr>
        <w:rFonts w:hint="default"/>
        <w:lang w:val="tr-TR" w:eastAsia="en-US" w:bidi="ar-SA"/>
      </w:rPr>
    </w:lvl>
    <w:lvl w:ilvl="4" w:tplc="12661768">
      <w:numFmt w:val="bullet"/>
      <w:lvlText w:val="•"/>
      <w:lvlJc w:val="left"/>
      <w:pPr>
        <w:ind w:left="4548" w:hanging="286"/>
      </w:pPr>
      <w:rPr>
        <w:rFonts w:hint="default"/>
        <w:lang w:val="tr-TR" w:eastAsia="en-US" w:bidi="ar-SA"/>
      </w:rPr>
    </w:lvl>
    <w:lvl w:ilvl="5" w:tplc="5F546C96">
      <w:numFmt w:val="bullet"/>
      <w:lvlText w:val="•"/>
      <w:lvlJc w:val="left"/>
      <w:pPr>
        <w:ind w:left="5475" w:hanging="286"/>
      </w:pPr>
      <w:rPr>
        <w:rFonts w:hint="default"/>
        <w:lang w:val="tr-TR" w:eastAsia="en-US" w:bidi="ar-SA"/>
      </w:rPr>
    </w:lvl>
    <w:lvl w:ilvl="6" w:tplc="147C46C0">
      <w:numFmt w:val="bullet"/>
      <w:lvlText w:val="•"/>
      <w:lvlJc w:val="left"/>
      <w:pPr>
        <w:ind w:left="6402" w:hanging="286"/>
      </w:pPr>
      <w:rPr>
        <w:rFonts w:hint="default"/>
        <w:lang w:val="tr-TR" w:eastAsia="en-US" w:bidi="ar-SA"/>
      </w:rPr>
    </w:lvl>
    <w:lvl w:ilvl="7" w:tplc="BAC6F15C">
      <w:numFmt w:val="bullet"/>
      <w:lvlText w:val="•"/>
      <w:lvlJc w:val="left"/>
      <w:pPr>
        <w:ind w:left="7329" w:hanging="286"/>
      </w:pPr>
      <w:rPr>
        <w:rFonts w:hint="default"/>
        <w:lang w:val="tr-TR" w:eastAsia="en-US" w:bidi="ar-SA"/>
      </w:rPr>
    </w:lvl>
    <w:lvl w:ilvl="8" w:tplc="F0F0CB88">
      <w:numFmt w:val="bullet"/>
      <w:lvlText w:val="•"/>
      <w:lvlJc w:val="left"/>
      <w:pPr>
        <w:ind w:left="8256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6F"/>
    <w:rsid w:val="0015556C"/>
    <w:rsid w:val="002B656F"/>
    <w:rsid w:val="003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9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2" w:hanging="28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9"/>
      <w:ind w:left="832" w:hanging="286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0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990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9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2" w:hanging="28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9"/>
      <w:ind w:left="832" w:hanging="286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0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99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dcterms:created xsi:type="dcterms:W3CDTF">2021-03-15T13:47:00Z</dcterms:created>
  <dcterms:modified xsi:type="dcterms:W3CDTF">2021-03-15T13:47:00Z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2020-01-17T00:00:00Z</vt:filetime>
  </property>
</Properties>
</file>