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Normal"/>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6"/>
        <w:gridCol w:w="5387"/>
        <w:gridCol w:w="1560"/>
        <w:gridCol w:w="1380"/>
      </w:tblGrid>
      <w:tr w:rsidR="00542729">
        <w:trPr>
          <w:trHeight w:val="277"/>
        </w:trPr>
        <w:tc>
          <w:tcPr>
            <w:tcW w:w="1526" w:type="dxa"/>
            <w:vMerge w:val="restart"/>
          </w:tcPr>
          <w:p w:rsidR="00542729" w:rsidRDefault="00542729">
            <w:pPr>
              <w:pStyle w:val="TableParagraph"/>
              <w:spacing w:before="6" w:after="1"/>
              <w:ind w:left="0"/>
              <w:rPr>
                <w:sz w:val="12"/>
              </w:rPr>
            </w:pPr>
            <w:bookmarkStart w:id="0" w:name="_GoBack"/>
            <w:bookmarkEnd w:id="0"/>
          </w:p>
          <w:p w:rsidR="00542729" w:rsidRDefault="00AE1801">
            <w:pPr>
              <w:pStyle w:val="TableParagraph"/>
              <w:spacing w:before="0"/>
              <w:ind w:left="201"/>
              <w:rPr>
                <w:sz w:val="20"/>
              </w:rPr>
            </w:pPr>
            <w:r>
              <w:rPr>
                <w:noProof/>
                <w:sz w:val="20"/>
                <w:lang w:eastAsia="tr-TR"/>
              </w:rPr>
              <w:drawing>
                <wp:inline distT="0" distB="0" distL="0" distR="0">
                  <wp:extent cx="800100" cy="771525"/>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wew.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00100" cy="771525"/>
                          </a:xfrm>
                          <a:prstGeom prst="rect">
                            <a:avLst/>
                          </a:prstGeom>
                        </pic:spPr>
                      </pic:pic>
                    </a:graphicData>
                  </a:graphic>
                </wp:inline>
              </w:drawing>
            </w:r>
          </w:p>
        </w:tc>
        <w:tc>
          <w:tcPr>
            <w:tcW w:w="5387" w:type="dxa"/>
            <w:vMerge w:val="restart"/>
          </w:tcPr>
          <w:p w:rsidR="00542729" w:rsidRDefault="00542729">
            <w:pPr>
              <w:pStyle w:val="TableParagraph"/>
              <w:spacing w:before="0"/>
              <w:ind w:left="0"/>
              <w:rPr>
                <w:sz w:val="30"/>
              </w:rPr>
            </w:pPr>
          </w:p>
          <w:p w:rsidR="00542729" w:rsidRDefault="00AE1801">
            <w:pPr>
              <w:pStyle w:val="TableParagraph"/>
              <w:spacing w:before="176"/>
              <w:ind w:left="1169"/>
              <w:rPr>
                <w:b/>
                <w:sz w:val="28"/>
              </w:rPr>
            </w:pPr>
            <w:r>
              <w:rPr>
                <w:b/>
                <w:sz w:val="28"/>
              </w:rPr>
              <w:t>FAKÜLTE SEKRETERİ</w:t>
            </w:r>
          </w:p>
        </w:tc>
        <w:tc>
          <w:tcPr>
            <w:tcW w:w="1560" w:type="dxa"/>
          </w:tcPr>
          <w:p w:rsidR="00542729" w:rsidRDefault="00AE1801">
            <w:pPr>
              <w:pStyle w:val="TableParagraph"/>
              <w:rPr>
                <w:sz w:val="20"/>
              </w:rPr>
            </w:pPr>
            <w:r>
              <w:rPr>
                <w:sz w:val="20"/>
              </w:rPr>
              <w:t>Doküman No</w:t>
            </w:r>
          </w:p>
        </w:tc>
        <w:tc>
          <w:tcPr>
            <w:tcW w:w="1380" w:type="dxa"/>
          </w:tcPr>
          <w:p w:rsidR="00542729" w:rsidRDefault="00542729" w:rsidP="00AE1801">
            <w:pPr>
              <w:pStyle w:val="TableParagraph"/>
              <w:spacing w:before="25"/>
              <w:ind w:left="0"/>
              <w:rPr>
                <w:rFonts w:ascii="Arial"/>
                <w:b/>
                <w:sz w:val="18"/>
              </w:rPr>
            </w:pPr>
          </w:p>
        </w:tc>
      </w:tr>
      <w:tr w:rsidR="00542729">
        <w:trPr>
          <w:trHeight w:val="275"/>
        </w:trPr>
        <w:tc>
          <w:tcPr>
            <w:tcW w:w="1526" w:type="dxa"/>
            <w:vMerge/>
            <w:tcBorders>
              <w:top w:val="nil"/>
            </w:tcBorders>
          </w:tcPr>
          <w:p w:rsidR="00542729" w:rsidRDefault="00542729">
            <w:pPr>
              <w:rPr>
                <w:sz w:val="2"/>
                <w:szCs w:val="2"/>
              </w:rPr>
            </w:pPr>
          </w:p>
        </w:tc>
        <w:tc>
          <w:tcPr>
            <w:tcW w:w="5387" w:type="dxa"/>
            <w:vMerge/>
            <w:tcBorders>
              <w:top w:val="nil"/>
            </w:tcBorders>
          </w:tcPr>
          <w:p w:rsidR="00542729" w:rsidRDefault="00542729">
            <w:pPr>
              <w:rPr>
                <w:sz w:val="2"/>
                <w:szCs w:val="2"/>
              </w:rPr>
            </w:pPr>
          </w:p>
        </w:tc>
        <w:tc>
          <w:tcPr>
            <w:tcW w:w="1560" w:type="dxa"/>
          </w:tcPr>
          <w:p w:rsidR="00542729" w:rsidRDefault="00AE1801">
            <w:pPr>
              <w:pStyle w:val="TableParagraph"/>
              <w:spacing w:before="10"/>
              <w:rPr>
                <w:sz w:val="20"/>
              </w:rPr>
            </w:pPr>
            <w:r>
              <w:rPr>
                <w:sz w:val="20"/>
              </w:rPr>
              <w:t>İlk Yayın Tarihi</w:t>
            </w:r>
          </w:p>
        </w:tc>
        <w:tc>
          <w:tcPr>
            <w:tcW w:w="1380" w:type="dxa"/>
          </w:tcPr>
          <w:p w:rsidR="00542729" w:rsidRDefault="00542729" w:rsidP="00AE1801">
            <w:pPr>
              <w:pStyle w:val="TableParagraph"/>
              <w:spacing w:before="20"/>
              <w:ind w:left="0"/>
              <w:rPr>
                <w:rFonts w:ascii="Arial"/>
                <w:b/>
                <w:sz w:val="18"/>
              </w:rPr>
            </w:pPr>
          </w:p>
        </w:tc>
      </w:tr>
      <w:tr w:rsidR="00542729">
        <w:trPr>
          <w:trHeight w:val="273"/>
        </w:trPr>
        <w:tc>
          <w:tcPr>
            <w:tcW w:w="1526" w:type="dxa"/>
            <w:vMerge/>
            <w:tcBorders>
              <w:top w:val="nil"/>
            </w:tcBorders>
          </w:tcPr>
          <w:p w:rsidR="00542729" w:rsidRDefault="00542729">
            <w:pPr>
              <w:rPr>
                <w:sz w:val="2"/>
                <w:szCs w:val="2"/>
              </w:rPr>
            </w:pPr>
          </w:p>
        </w:tc>
        <w:tc>
          <w:tcPr>
            <w:tcW w:w="5387" w:type="dxa"/>
            <w:vMerge/>
            <w:tcBorders>
              <w:top w:val="nil"/>
            </w:tcBorders>
          </w:tcPr>
          <w:p w:rsidR="00542729" w:rsidRDefault="00542729">
            <w:pPr>
              <w:rPr>
                <w:sz w:val="2"/>
                <w:szCs w:val="2"/>
              </w:rPr>
            </w:pPr>
          </w:p>
        </w:tc>
        <w:tc>
          <w:tcPr>
            <w:tcW w:w="1560" w:type="dxa"/>
          </w:tcPr>
          <w:p w:rsidR="00542729" w:rsidRDefault="00AE1801">
            <w:pPr>
              <w:pStyle w:val="TableParagraph"/>
              <w:rPr>
                <w:sz w:val="20"/>
              </w:rPr>
            </w:pPr>
            <w:r>
              <w:rPr>
                <w:sz w:val="20"/>
              </w:rPr>
              <w:t>Revizyon Tarihi</w:t>
            </w:r>
          </w:p>
        </w:tc>
        <w:tc>
          <w:tcPr>
            <w:tcW w:w="1380" w:type="dxa"/>
          </w:tcPr>
          <w:p w:rsidR="00542729" w:rsidRDefault="00542729">
            <w:pPr>
              <w:pStyle w:val="TableParagraph"/>
              <w:spacing w:before="30"/>
              <w:ind w:left="101"/>
              <w:rPr>
                <w:rFonts w:ascii="Arial"/>
                <w:b/>
                <w:sz w:val="18"/>
              </w:rPr>
            </w:pPr>
          </w:p>
        </w:tc>
      </w:tr>
      <w:tr w:rsidR="00542729">
        <w:trPr>
          <w:trHeight w:val="275"/>
        </w:trPr>
        <w:tc>
          <w:tcPr>
            <w:tcW w:w="1526" w:type="dxa"/>
            <w:vMerge/>
            <w:tcBorders>
              <w:top w:val="nil"/>
            </w:tcBorders>
          </w:tcPr>
          <w:p w:rsidR="00542729" w:rsidRDefault="00542729">
            <w:pPr>
              <w:rPr>
                <w:sz w:val="2"/>
                <w:szCs w:val="2"/>
              </w:rPr>
            </w:pPr>
          </w:p>
        </w:tc>
        <w:tc>
          <w:tcPr>
            <w:tcW w:w="5387" w:type="dxa"/>
            <w:vMerge/>
            <w:tcBorders>
              <w:top w:val="nil"/>
            </w:tcBorders>
          </w:tcPr>
          <w:p w:rsidR="00542729" w:rsidRDefault="00542729">
            <w:pPr>
              <w:rPr>
                <w:sz w:val="2"/>
                <w:szCs w:val="2"/>
              </w:rPr>
            </w:pPr>
          </w:p>
        </w:tc>
        <w:tc>
          <w:tcPr>
            <w:tcW w:w="1560" w:type="dxa"/>
          </w:tcPr>
          <w:p w:rsidR="00542729" w:rsidRDefault="00AE1801">
            <w:pPr>
              <w:pStyle w:val="TableParagraph"/>
              <w:rPr>
                <w:sz w:val="20"/>
              </w:rPr>
            </w:pPr>
            <w:r>
              <w:rPr>
                <w:sz w:val="20"/>
              </w:rPr>
              <w:t>Revizyon No</w:t>
            </w:r>
          </w:p>
        </w:tc>
        <w:tc>
          <w:tcPr>
            <w:tcW w:w="1380" w:type="dxa"/>
          </w:tcPr>
          <w:p w:rsidR="00542729" w:rsidRDefault="00542729" w:rsidP="00AE1801">
            <w:pPr>
              <w:pStyle w:val="TableParagraph"/>
              <w:spacing w:before="29"/>
              <w:ind w:left="0"/>
              <w:rPr>
                <w:rFonts w:ascii="Arial"/>
                <w:b/>
                <w:sz w:val="18"/>
              </w:rPr>
            </w:pPr>
          </w:p>
        </w:tc>
      </w:tr>
      <w:tr w:rsidR="00542729">
        <w:trPr>
          <w:trHeight w:val="275"/>
        </w:trPr>
        <w:tc>
          <w:tcPr>
            <w:tcW w:w="1526" w:type="dxa"/>
            <w:vMerge/>
            <w:tcBorders>
              <w:top w:val="nil"/>
            </w:tcBorders>
          </w:tcPr>
          <w:p w:rsidR="00542729" w:rsidRDefault="00542729">
            <w:pPr>
              <w:rPr>
                <w:sz w:val="2"/>
                <w:szCs w:val="2"/>
              </w:rPr>
            </w:pPr>
          </w:p>
        </w:tc>
        <w:tc>
          <w:tcPr>
            <w:tcW w:w="5387" w:type="dxa"/>
            <w:vMerge/>
            <w:tcBorders>
              <w:top w:val="nil"/>
            </w:tcBorders>
          </w:tcPr>
          <w:p w:rsidR="00542729" w:rsidRDefault="00542729">
            <w:pPr>
              <w:rPr>
                <w:sz w:val="2"/>
                <w:szCs w:val="2"/>
              </w:rPr>
            </w:pPr>
          </w:p>
        </w:tc>
        <w:tc>
          <w:tcPr>
            <w:tcW w:w="1560" w:type="dxa"/>
          </w:tcPr>
          <w:p w:rsidR="00542729" w:rsidRDefault="00AE1801">
            <w:pPr>
              <w:pStyle w:val="TableParagraph"/>
              <w:rPr>
                <w:sz w:val="20"/>
              </w:rPr>
            </w:pPr>
            <w:r>
              <w:rPr>
                <w:sz w:val="20"/>
              </w:rPr>
              <w:t>Sayfa</w:t>
            </w:r>
          </w:p>
        </w:tc>
        <w:tc>
          <w:tcPr>
            <w:tcW w:w="1380" w:type="dxa"/>
          </w:tcPr>
          <w:p w:rsidR="00542729" w:rsidRDefault="00542729" w:rsidP="00AE1801">
            <w:pPr>
              <w:pStyle w:val="TableParagraph"/>
              <w:spacing w:before="25"/>
              <w:ind w:left="0"/>
              <w:rPr>
                <w:rFonts w:ascii="Arial"/>
                <w:b/>
                <w:sz w:val="18"/>
              </w:rPr>
            </w:pPr>
          </w:p>
        </w:tc>
      </w:tr>
    </w:tbl>
    <w:p w:rsidR="00542729" w:rsidRDefault="00542729">
      <w:pPr>
        <w:pStyle w:val="GvdeMetni"/>
        <w:ind w:left="0"/>
        <w:rPr>
          <w:sz w:val="20"/>
        </w:rPr>
      </w:pPr>
    </w:p>
    <w:p w:rsidR="00542729" w:rsidRDefault="00542729">
      <w:pPr>
        <w:pStyle w:val="GvdeMetni"/>
        <w:spacing w:before="2"/>
        <w:ind w:left="0"/>
        <w:rPr>
          <w:sz w:val="20"/>
        </w:rPr>
      </w:pPr>
    </w:p>
    <w:p w:rsidR="00542729" w:rsidRDefault="00AE1801">
      <w:pPr>
        <w:tabs>
          <w:tab w:val="left" w:pos="5270"/>
        </w:tabs>
        <w:spacing w:before="90"/>
        <w:ind w:left="253"/>
        <w:rPr>
          <w:sz w:val="24"/>
        </w:rPr>
      </w:pPr>
      <w:r>
        <w:rPr>
          <w:b/>
          <w:sz w:val="24"/>
        </w:rPr>
        <w:t>ORGANİZASYONDAKİ</w:t>
      </w:r>
      <w:r>
        <w:rPr>
          <w:b/>
          <w:spacing w:val="-9"/>
          <w:sz w:val="24"/>
        </w:rPr>
        <w:t xml:space="preserve"> </w:t>
      </w:r>
      <w:r>
        <w:rPr>
          <w:b/>
          <w:sz w:val="24"/>
        </w:rPr>
        <w:t>YERİ</w:t>
      </w:r>
      <w:r>
        <w:rPr>
          <w:b/>
          <w:sz w:val="24"/>
        </w:rPr>
        <w:tab/>
        <w:t xml:space="preserve">: </w:t>
      </w:r>
      <w:r>
        <w:rPr>
          <w:sz w:val="24"/>
        </w:rPr>
        <w:t>Fakülte Dekanına bağlı görev</w:t>
      </w:r>
      <w:r>
        <w:rPr>
          <w:spacing w:val="1"/>
          <w:sz w:val="24"/>
        </w:rPr>
        <w:t xml:space="preserve"> </w:t>
      </w:r>
      <w:r>
        <w:rPr>
          <w:sz w:val="24"/>
        </w:rPr>
        <w:t>yapar.</w:t>
      </w:r>
    </w:p>
    <w:p w:rsidR="00542729" w:rsidRDefault="00542729">
      <w:pPr>
        <w:pStyle w:val="GvdeMetni"/>
        <w:spacing w:before="9"/>
        <w:ind w:left="0"/>
      </w:pPr>
    </w:p>
    <w:p w:rsidR="00542729" w:rsidRDefault="00AE1801">
      <w:pPr>
        <w:pStyle w:val="Balk1"/>
        <w:tabs>
          <w:tab w:val="left" w:pos="5210"/>
        </w:tabs>
      </w:pPr>
      <w:r>
        <w:t>GÖREV, YETKİ</w:t>
      </w:r>
      <w:r>
        <w:rPr>
          <w:spacing w:val="-12"/>
        </w:rPr>
        <w:t xml:space="preserve"> </w:t>
      </w:r>
      <w:r>
        <w:t>VE</w:t>
      </w:r>
      <w:r>
        <w:rPr>
          <w:spacing w:val="-4"/>
        </w:rPr>
        <w:t xml:space="preserve"> </w:t>
      </w:r>
      <w:r>
        <w:t>SORUMLULUKLARI</w:t>
      </w:r>
      <w:r>
        <w:tab/>
        <w:t>:</w:t>
      </w:r>
    </w:p>
    <w:p w:rsidR="00542729" w:rsidRDefault="00542729">
      <w:pPr>
        <w:pStyle w:val="GvdeMetni"/>
        <w:spacing w:before="2"/>
        <w:ind w:left="0"/>
        <w:rPr>
          <w:b/>
        </w:rPr>
      </w:pPr>
    </w:p>
    <w:p w:rsidR="00542729" w:rsidRDefault="00AE1801">
      <w:pPr>
        <w:pStyle w:val="ListeParagraf"/>
        <w:numPr>
          <w:ilvl w:val="0"/>
          <w:numId w:val="1"/>
        </w:numPr>
        <w:tabs>
          <w:tab w:val="left" w:pos="896"/>
          <w:tab w:val="left" w:pos="897"/>
        </w:tabs>
        <w:ind w:right="273"/>
        <w:rPr>
          <w:sz w:val="24"/>
        </w:rPr>
      </w:pPr>
      <w:r>
        <w:rPr>
          <w:sz w:val="24"/>
        </w:rPr>
        <w:t>124 sayılı</w:t>
      </w:r>
      <w:hyperlink r:id="rId7">
        <w:r>
          <w:rPr>
            <w:sz w:val="24"/>
          </w:rPr>
          <w:t xml:space="preserve"> Yükseköğretim Üst Kuruluşları İle Yükseköğretim Kurumlarının İdari Teşkilatı</w:t>
        </w:r>
      </w:hyperlink>
      <w:hyperlink r:id="rId8">
        <w:r>
          <w:rPr>
            <w:sz w:val="24"/>
          </w:rPr>
          <w:t xml:space="preserve"> Hakkında KHK’nin </w:t>
        </w:r>
      </w:hyperlink>
      <w:r>
        <w:rPr>
          <w:spacing w:val="-4"/>
          <w:sz w:val="24"/>
        </w:rPr>
        <w:t xml:space="preserve">38/a-3 </w:t>
      </w:r>
      <w:r>
        <w:rPr>
          <w:sz w:val="24"/>
        </w:rPr>
        <w:t>maddesi uyarınca, Fakülte idari teşkilatına ait kamu hizmetlerinin gereği gibi koordine edilip yürütülmesinden</w:t>
      </w:r>
      <w:r>
        <w:rPr>
          <w:spacing w:val="-1"/>
          <w:sz w:val="24"/>
        </w:rPr>
        <w:t xml:space="preserve"> </w:t>
      </w:r>
      <w:r>
        <w:rPr>
          <w:sz w:val="24"/>
        </w:rPr>
        <w:t>sorumludur,</w:t>
      </w:r>
    </w:p>
    <w:p w:rsidR="00542729" w:rsidRDefault="00BF0881">
      <w:pPr>
        <w:pStyle w:val="ListeParagraf"/>
        <w:numPr>
          <w:ilvl w:val="0"/>
          <w:numId w:val="1"/>
        </w:numPr>
        <w:tabs>
          <w:tab w:val="left" w:pos="896"/>
          <w:tab w:val="left" w:pos="897"/>
        </w:tabs>
        <w:ind w:right="148"/>
        <w:rPr>
          <w:sz w:val="24"/>
        </w:rPr>
      </w:pPr>
      <w:hyperlink r:id="rId9">
        <w:r w:rsidR="00AE1801">
          <w:rPr>
            <w:sz w:val="24"/>
          </w:rPr>
          <w:t>2547 sayılı Kanun’un 51/</w:t>
        </w:r>
        <w:proofErr w:type="spellStart"/>
        <w:r w:rsidR="00AE1801">
          <w:rPr>
            <w:sz w:val="24"/>
          </w:rPr>
          <w:t>b,c</w:t>
        </w:r>
        <w:proofErr w:type="spellEnd"/>
        <w:r w:rsidR="00AE1801">
          <w:rPr>
            <w:sz w:val="24"/>
          </w:rPr>
          <w:t xml:space="preserve"> maddesi </w:t>
        </w:r>
      </w:hyperlink>
      <w:r w:rsidR="00AE1801">
        <w:rPr>
          <w:sz w:val="24"/>
        </w:rPr>
        <w:t>uyarınca, Fakülte yönetim örgütünün başı olarak Fakültede görevli idari personel arasında iş bölümünü yapmak. Kılık kıyafetleri ile görevlerini yerine getirip getirmediklerini gözetlemek, yürütülen faaliyetlerin düzenli ve uyumlu bir şekilde mevzuata uygun olarak yürütülmesini sağlamak, koordine etmek ve denetlemek. Gerekli durumlarda idari personelin görev alanlarını ve birimlerini</w:t>
      </w:r>
      <w:r w:rsidR="00AE1801">
        <w:rPr>
          <w:spacing w:val="-3"/>
          <w:sz w:val="24"/>
        </w:rPr>
        <w:t xml:space="preserve"> </w:t>
      </w:r>
      <w:r w:rsidR="00AE1801">
        <w:rPr>
          <w:sz w:val="24"/>
        </w:rPr>
        <w:t>düzenlemek,</w:t>
      </w:r>
    </w:p>
    <w:p w:rsidR="00542729" w:rsidRDefault="00BF0881">
      <w:pPr>
        <w:pStyle w:val="ListeParagraf"/>
        <w:numPr>
          <w:ilvl w:val="0"/>
          <w:numId w:val="1"/>
        </w:numPr>
        <w:tabs>
          <w:tab w:val="left" w:pos="896"/>
          <w:tab w:val="left" w:pos="897"/>
        </w:tabs>
        <w:ind w:right="315"/>
        <w:rPr>
          <w:sz w:val="24"/>
        </w:rPr>
      </w:pPr>
      <w:hyperlink r:id="rId10">
        <w:r w:rsidR="00AE1801">
          <w:rPr>
            <w:sz w:val="24"/>
          </w:rPr>
          <w:t xml:space="preserve">2547 sayılı Kanun’un 52/b maddesi </w:t>
        </w:r>
      </w:hyperlink>
      <w:r w:rsidR="00AE1801">
        <w:rPr>
          <w:sz w:val="24"/>
        </w:rPr>
        <w:t>uyarınca, yardımcı hizmetler sınıfına mensup personelin Fakülte kadrosuna atanmasına ilişkin Dekana öneride</w:t>
      </w:r>
      <w:r w:rsidR="00AE1801">
        <w:rPr>
          <w:spacing w:val="-4"/>
          <w:sz w:val="24"/>
        </w:rPr>
        <w:t xml:space="preserve"> </w:t>
      </w:r>
      <w:r w:rsidR="00AE1801">
        <w:rPr>
          <w:sz w:val="24"/>
        </w:rPr>
        <w:t>bulunmak,</w:t>
      </w:r>
    </w:p>
    <w:p w:rsidR="00542729" w:rsidRDefault="00BF0881">
      <w:pPr>
        <w:pStyle w:val="ListeParagraf"/>
        <w:numPr>
          <w:ilvl w:val="0"/>
          <w:numId w:val="1"/>
        </w:numPr>
        <w:tabs>
          <w:tab w:val="left" w:pos="897"/>
        </w:tabs>
        <w:ind w:right="583"/>
        <w:jc w:val="both"/>
        <w:rPr>
          <w:sz w:val="24"/>
        </w:rPr>
      </w:pPr>
      <w:hyperlink r:id="rId11">
        <w:r w:rsidR="00AE1801">
          <w:rPr>
            <w:sz w:val="24"/>
          </w:rPr>
          <w:t xml:space="preserve">2547 sayılı Kanun’un 53/a maddesi </w:t>
        </w:r>
      </w:hyperlink>
      <w:r w:rsidR="00AE1801">
        <w:rPr>
          <w:sz w:val="24"/>
        </w:rPr>
        <w:t>uyarınca, Fakülte Sekreteri; fakülte kadrosunda görev yapan bütün idari personelin disiplin amiridir ve disiplin amiri sıfatıyla, haiz bulundukları yetkileri doğrudan kullanabilirler.</w:t>
      </w:r>
    </w:p>
    <w:p w:rsidR="00542729" w:rsidRDefault="00AE1801">
      <w:pPr>
        <w:pStyle w:val="ListeParagraf"/>
        <w:numPr>
          <w:ilvl w:val="0"/>
          <w:numId w:val="1"/>
        </w:numPr>
        <w:tabs>
          <w:tab w:val="left" w:pos="897"/>
        </w:tabs>
        <w:ind w:right="423"/>
        <w:jc w:val="both"/>
        <w:rPr>
          <w:sz w:val="24"/>
        </w:rPr>
      </w:pPr>
      <w:r>
        <w:rPr>
          <w:sz w:val="24"/>
        </w:rPr>
        <w:t xml:space="preserve">Fakülte Kurulu ve Yönetim Kurulu gündemini hazırlatmak ve oy hakkı olmaksızın </w:t>
      </w:r>
      <w:proofErr w:type="gramStart"/>
      <w:r>
        <w:rPr>
          <w:sz w:val="24"/>
        </w:rPr>
        <w:t>raportör</w:t>
      </w:r>
      <w:proofErr w:type="gramEnd"/>
      <w:r>
        <w:rPr>
          <w:sz w:val="24"/>
        </w:rPr>
        <w:t xml:space="preserve"> olarak toplantılara katılmak, alınan kararların yazılmasını, saklanmasını ve ilgili</w:t>
      </w:r>
      <w:r>
        <w:rPr>
          <w:spacing w:val="-10"/>
          <w:sz w:val="24"/>
        </w:rPr>
        <w:t xml:space="preserve"> </w:t>
      </w:r>
      <w:r>
        <w:rPr>
          <w:sz w:val="24"/>
        </w:rPr>
        <w:t>birimlere</w:t>
      </w:r>
    </w:p>
    <w:p w:rsidR="00542729" w:rsidRDefault="00AE1801">
      <w:pPr>
        <w:pStyle w:val="GvdeMetni"/>
        <w:spacing w:line="275" w:lineRule="exact"/>
        <w:jc w:val="both"/>
      </w:pPr>
      <w:proofErr w:type="gramStart"/>
      <w:r>
        <w:t>iletilmesini</w:t>
      </w:r>
      <w:proofErr w:type="gramEnd"/>
      <w:r>
        <w:t xml:space="preserve"> sağlamak,</w:t>
      </w:r>
    </w:p>
    <w:p w:rsidR="00542729" w:rsidRDefault="00BF0881">
      <w:pPr>
        <w:pStyle w:val="ListeParagraf"/>
        <w:numPr>
          <w:ilvl w:val="0"/>
          <w:numId w:val="1"/>
        </w:numPr>
        <w:tabs>
          <w:tab w:val="left" w:pos="897"/>
        </w:tabs>
        <w:spacing w:line="293" w:lineRule="exact"/>
        <w:ind w:hanging="361"/>
        <w:jc w:val="both"/>
        <w:rPr>
          <w:sz w:val="24"/>
        </w:rPr>
      </w:pPr>
      <w:hyperlink r:id="rId12">
        <w:r w:rsidR="002D1C89">
          <w:rPr>
            <w:sz w:val="24"/>
          </w:rPr>
          <w:t>Yozgat Bozok</w:t>
        </w:r>
        <w:r w:rsidR="00AE1801">
          <w:rPr>
            <w:sz w:val="24"/>
          </w:rPr>
          <w:t xml:space="preserve"> Üniversitesi Yazışma Usulleri ve İmza Yetkileri </w:t>
        </w:r>
        <w:proofErr w:type="spellStart"/>
        <w:r w:rsidR="00AE1801">
          <w:rPr>
            <w:sz w:val="24"/>
          </w:rPr>
          <w:t>Yönergesi’nin</w:t>
        </w:r>
        <w:proofErr w:type="spellEnd"/>
        <w:r w:rsidR="00AE1801">
          <w:rPr>
            <w:spacing w:val="-25"/>
            <w:sz w:val="24"/>
          </w:rPr>
          <w:t xml:space="preserve"> </w:t>
        </w:r>
      </w:hyperlink>
      <w:r w:rsidR="00AE1801">
        <w:rPr>
          <w:sz w:val="24"/>
        </w:rPr>
        <w:t>17/ç</w:t>
      </w:r>
    </w:p>
    <w:p w:rsidR="00542729" w:rsidRDefault="00AE1801">
      <w:pPr>
        <w:pStyle w:val="GvdeMetni"/>
        <w:ind w:right="221"/>
      </w:pPr>
      <w:proofErr w:type="gramStart"/>
      <w:r>
        <w:t>maddesi</w:t>
      </w:r>
      <w:proofErr w:type="gramEnd"/>
      <w:r>
        <w:t xml:space="preserve"> uyarınca; Kurum içinden ve kurum dışından, Fakülteye gelen evrakların havalesini yaparak kaydedilmesini, birim içi yönlendirilmesini ve sonuçlandırılmasını sağlamak, Dekan tarafından imzalanacak yazıların parafını yapmak, mahiyetinde çalışan idari personelin geçici görev, mazeret ve sıhhi izin işlemlerine ilişkin onayların tekliflerini yapmak, öğrenci belgesi,</w:t>
      </w:r>
    </w:p>
    <w:p w:rsidR="00542729" w:rsidRDefault="00AE1801">
      <w:pPr>
        <w:pStyle w:val="GvdeMetni"/>
        <w:spacing w:line="276" w:lineRule="exact"/>
      </w:pPr>
      <w:proofErr w:type="gramStart"/>
      <w:r>
        <w:t>not</w:t>
      </w:r>
      <w:proofErr w:type="gramEnd"/>
      <w:r>
        <w:t xml:space="preserve"> durum belgesi (Transkript) </w:t>
      </w:r>
      <w:proofErr w:type="spellStart"/>
      <w:r>
        <w:t>vb</w:t>
      </w:r>
      <w:proofErr w:type="spellEnd"/>
      <w:r>
        <w:t xml:space="preserve"> belgelerin imzalanması ve onaylanması işlemlerini yapmak,</w:t>
      </w:r>
    </w:p>
    <w:p w:rsidR="00542729" w:rsidRDefault="00AE1801">
      <w:pPr>
        <w:pStyle w:val="ListeParagraf"/>
        <w:numPr>
          <w:ilvl w:val="0"/>
          <w:numId w:val="1"/>
        </w:numPr>
        <w:tabs>
          <w:tab w:val="left" w:pos="896"/>
          <w:tab w:val="left" w:pos="897"/>
        </w:tabs>
        <w:ind w:right="260"/>
        <w:rPr>
          <w:sz w:val="24"/>
        </w:rPr>
      </w:pPr>
      <w:r>
        <w:rPr>
          <w:sz w:val="24"/>
        </w:rPr>
        <w:t>Mahiyetinde çalışan idari personelin yıllık izinlerini Fakültenin işlerini aksatmayacak şekilde planlamak, onaylamak ve Dekanlık makamına</w:t>
      </w:r>
      <w:r>
        <w:rPr>
          <w:spacing w:val="-3"/>
          <w:sz w:val="24"/>
        </w:rPr>
        <w:t xml:space="preserve"> </w:t>
      </w:r>
      <w:r>
        <w:rPr>
          <w:sz w:val="24"/>
        </w:rPr>
        <w:t>sunmak,</w:t>
      </w:r>
    </w:p>
    <w:p w:rsidR="00542729" w:rsidRDefault="00AE1801">
      <w:pPr>
        <w:pStyle w:val="ListeParagraf"/>
        <w:numPr>
          <w:ilvl w:val="0"/>
          <w:numId w:val="1"/>
        </w:numPr>
        <w:tabs>
          <w:tab w:val="left" w:pos="896"/>
          <w:tab w:val="left" w:pos="897"/>
        </w:tabs>
        <w:spacing w:line="292" w:lineRule="exact"/>
        <w:ind w:hanging="361"/>
        <w:rPr>
          <w:sz w:val="24"/>
        </w:rPr>
      </w:pPr>
      <w:r>
        <w:rPr>
          <w:sz w:val="24"/>
        </w:rPr>
        <w:t>Dekanın uygun görmesi halinde, 5018 sayılı Kamu Mali Yönetimi ve Kontrol</w:t>
      </w:r>
      <w:r>
        <w:rPr>
          <w:spacing w:val="-15"/>
          <w:sz w:val="24"/>
        </w:rPr>
        <w:t xml:space="preserve"> </w:t>
      </w:r>
      <w:r>
        <w:rPr>
          <w:sz w:val="24"/>
        </w:rPr>
        <w:t>Kanununun</w:t>
      </w:r>
    </w:p>
    <w:p w:rsidR="00542729" w:rsidRDefault="00AE1801">
      <w:pPr>
        <w:pStyle w:val="GvdeMetni"/>
        <w:spacing w:line="276" w:lineRule="exact"/>
      </w:pPr>
      <w:r>
        <w:t>33. maddesi uyarınca Gerçekleştirme Görevlisi görevini yürütmek,</w:t>
      </w:r>
    </w:p>
    <w:p w:rsidR="00542729" w:rsidRDefault="00AE1801">
      <w:pPr>
        <w:pStyle w:val="ListeParagraf"/>
        <w:numPr>
          <w:ilvl w:val="0"/>
          <w:numId w:val="1"/>
        </w:numPr>
        <w:tabs>
          <w:tab w:val="left" w:pos="896"/>
          <w:tab w:val="left" w:pos="897"/>
        </w:tabs>
        <w:ind w:right="919"/>
        <w:rPr>
          <w:sz w:val="24"/>
        </w:rPr>
      </w:pPr>
      <w:r>
        <w:rPr>
          <w:sz w:val="24"/>
        </w:rPr>
        <w:t>İlgili kanun, tüzük, yönetmelik, yönerge ve makam talimatlarını takip etmek, bunlarda meydana gelebilecek değişiklikleri uygulamak,</w:t>
      </w:r>
    </w:p>
    <w:p w:rsidR="00542729" w:rsidRDefault="00AE1801">
      <w:pPr>
        <w:pStyle w:val="ListeParagraf"/>
        <w:numPr>
          <w:ilvl w:val="0"/>
          <w:numId w:val="1"/>
        </w:numPr>
        <w:tabs>
          <w:tab w:val="left" w:pos="896"/>
          <w:tab w:val="left" w:pos="897"/>
        </w:tabs>
        <w:spacing w:line="292" w:lineRule="exact"/>
        <w:ind w:hanging="361"/>
        <w:rPr>
          <w:sz w:val="24"/>
        </w:rPr>
      </w:pPr>
      <w:r>
        <w:rPr>
          <w:sz w:val="24"/>
        </w:rPr>
        <w:t>Dekan tarafından verilen benzeri görevleri</w:t>
      </w:r>
      <w:r>
        <w:rPr>
          <w:spacing w:val="-2"/>
          <w:sz w:val="24"/>
        </w:rPr>
        <w:t xml:space="preserve"> </w:t>
      </w:r>
      <w:r>
        <w:rPr>
          <w:sz w:val="24"/>
        </w:rPr>
        <w:t>yapmak,</w:t>
      </w:r>
    </w:p>
    <w:p w:rsidR="00542729" w:rsidRDefault="00AE1801">
      <w:pPr>
        <w:pStyle w:val="ListeParagraf"/>
        <w:numPr>
          <w:ilvl w:val="0"/>
          <w:numId w:val="1"/>
        </w:numPr>
        <w:tabs>
          <w:tab w:val="left" w:pos="896"/>
          <w:tab w:val="left" w:pos="897"/>
        </w:tabs>
        <w:ind w:right="328"/>
        <w:rPr>
          <w:sz w:val="24"/>
        </w:rPr>
      </w:pPr>
      <w:r>
        <w:rPr>
          <w:sz w:val="24"/>
        </w:rPr>
        <w:t xml:space="preserve">Fakülte Sekreteri; Fakülte idari teşkilatına ait kamu hizmetlerinin gereği gibi koordine edilip yürütülmesinde gözetim ve denetiminin yapılmasında ve sonuçlarının alınmasında Dekana </w:t>
      </w:r>
      <w:proofErr w:type="gramStart"/>
      <w:r>
        <w:rPr>
          <w:sz w:val="24"/>
        </w:rPr>
        <w:t>karşı</w:t>
      </w:r>
      <w:proofErr w:type="gramEnd"/>
      <w:r>
        <w:rPr>
          <w:sz w:val="24"/>
        </w:rPr>
        <w:t xml:space="preserve"> birinci dereceden</w:t>
      </w:r>
      <w:r>
        <w:rPr>
          <w:spacing w:val="-1"/>
          <w:sz w:val="24"/>
        </w:rPr>
        <w:t xml:space="preserve"> </w:t>
      </w:r>
      <w:r>
        <w:rPr>
          <w:sz w:val="24"/>
        </w:rPr>
        <w:t>sorumludur.</w:t>
      </w:r>
    </w:p>
    <w:p w:rsidR="00542729" w:rsidRDefault="00542729">
      <w:pPr>
        <w:pStyle w:val="GvdeMetni"/>
        <w:spacing w:before="9"/>
        <w:ind w:left="0"/>
      </w:pPr>
    </w:p>
    <w:p w:rsidR="00542729" w:rsidRDefault="00AE1801">
      <w:pPr>
        <w:pStyle w:val="Balk1"/>
      </w:pPr>
      <w:r>
        <w:t xml:space="preserve">GÖREVİN GEREKTİRDİĞİ </w:t>
      </w:r>
      <w:proofErr w:type="gramStart"/>
      <w:r>
        <w:t>NİTELİKLER :</w:t>
      </w:r>
      <w:proofErr w:type="gramEnd"/>
    </w:p>
    <w:p w:rsidR="00542729" w:rsidRDefault="00542729">
      <w:pPr>
        <w:pStyle w:val="GvdeMetni"/>
        <w:spacing w:before="4"/>
        <w:ind w:left="0"/>
        <w:rPr>
          <w:b/>
        </w:rPr>
      </w:pPr>
    </w:p>
    <w:p w:rsidR="00542729" w:rsidRDefault="00AE1801">
      <w:pPr>
        <w:pStyle w:val="ListeParagraf"/>
        <w:numPr>
          <w:ilvl w:val="0"/>
          <w:numId w:val="1"/>
        </w:numPr>
        <w:tabs>
          <w:tab w:val="left" w:pos="961"/>
          <w:tab w:val="left" w:pos="962"/>
        </w:tabs>
        <w:ind w:left="961" w:hanging="426"/>
        <w:rPr>
          <w:sz w:val="24"/>
        </w:rPr>
      </w:pPr>
      <w:r>
        <w:rPr>
          <w:sz w:val="24"/>
        </w:rPr>
        <w:t>En az fakülte veya dört yıllık yüksekokul mezunu</w:t>
      </w:r>
      <w:r>
        <w:rPr>
          <w:spacing w:val="2"/>
          <w:sz w:val="24"/>
        </w:rPr>
        <w:t xml:space="preserve"> </w:t>
      </w:r>
      <w:r>
        <w:rPr>
          <w:sz w:val="24"/>
        </w:rPr>
        <w:t>olmak,</w:t>
      </w:r>
    </w:p>
    <w:p w:rsidR="00542729" w:rsidRDefault="00AE1801">
      <w:pPr>
        <w:pStyle w:val="ListeParagraf"/>
        <w:numPr>
          <w:ilvl w:val="0"/>
          <w:numId w:val="1"/>
        </w:numPr>
        <w:tabs>
          <w:tab w:val="left" w:pos="961"/>
          <w:tab w:val="left" w:pos="962"/>
        </w:tabs>
        <w:spacing w:before="38"/>
        <w:ind w:left="961" w:hanging="426"/>
        <w:rPr>
          <w:sz w:val="24"/>
        </w:rPr>
      </w:pPr>
      <w:r>
        <w:rPr>
          <w:sz w:val="24"/>
        </w:rPr>
        <w:t>657 sayılı Devlet Memurları Kanun’un 68/B maddesinde belirtilen şartları</w:t>
      </w:r>
      <w:r>
        <w:rPr>
          <w:spacing w:val="-6"/>
          <w:sz w:val="24"/>
        </w:rPr>
        <w:t xml:space="preserve"> </w:t>
      </w:r>
      <w:r>
        <w:rPr>
          <w:sz w:val="24"/>
        </w:rPr>
        <w:t>taşımak.</w:t>
      </w:r>
    </w:p>
    <w:p w:rsidR="00542729" w:rsidRDefault="00542729">
      <w:pPr>
        <w:pStyle w:val="GvdeMetni"/>
        <w:ind w:left="0"/>
        <w:rPr>
          <w:sz w:val="20"/>
        </w:rPr>
      </w:pPr>
    </w:p>
    <w:p w:rsidR="00542729" w:rsidRDefault="00542729" w:rsidP="00AE1801">
      <w:pPr>
        <w:spacing w:before="82"/>
        <w:rPr>
          <w:i/>
          <w:sz w:val="16"/>
        </w:rPr>
      </w:pPr>
    </w:p>
    <w:sectPr w:rsidR="00542729">
      <w:type w:val="continuous"/>
      <w:pgSz w:w="11920" w:h="16850"/>
      <w:pgMar w:top="680" w:right="920" w:bottom="280" w:left="8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5C381D"/>
    <w:multiLevelType w:val="hybridMultilevel"/>
    <w:tmpl w:val="D950591E"/>
    <w:lvl w:ilvl="0" w:tplc="4E4E7AD0">
      <w:numFmt w:val="bullet"/>
      <w:lvlText w:val=""/>
      <w:lvlJc w:val="left"/>
      <w:pPr>
        <w:ind w:left="896" w:hanging="360"/>
      </w:pPr>
      <w:rPr>
        <w:rFonts w:ascii="Symbol" w:eastAsia="Symbol" w:hAnsi="Symbol" w:cs="Symbol" w:hint="default"/>
        <w:w w:val="100"/>
        <w:sz w:val="24"/>
        <w:szCs w:val="24"/>
        <w:lang w:val="tr-TR" w:eastAsia="en-US" w:bidi="ar-SA"/>
      </w:rPr>
    </w:lvl>
    <w:lvl w:ilvl="1" w:tplc="F3884E16">
      <w:numFmt w:val="bullet"/>
      <w:lvlText w:val="•"/>
      <w:lvlJc w:val="left"/>
      <w:pPr>
        <w:ind w:left="1260" w:hanging="360"/>
      </w:pPr>
      <w:rPr>
        <w:rFonts w:hint="default"/>
        <w:lang w:val="tr-TR" w:eastAsia="en-US" w:bidi="ar-SA"/>
      </w:rPr>
    </w:lvl>
    <w:lvl w:ilvl="2" w:tplc="189EDE54">
      <w:numFmt w:val="bullet"/>
      <w:lvlText w:val="•"/>
      <w:lvlJc w:val="left"/>
      <w:pPr>
        <w:ind w:left="2243" w:hanging="360"/>
      </w:pPr>
      <w:rPr>
        <w:rFonts w:hint="default"/>
        <w:lang w:val="tr-TR" w:eastAsia="en-US" w:bidi="ar-SA"/>
      </w:rPr>
    </w:lvl>
    <w:lvl w:ilvl="3" w:tplc="EE70FDFC">
      <w:numFmt w:val="bullet"/>
      <w:lvlText w:val="•"/>
      <w:lvlJc w:val="left"/>
      <w:pPr>
        <w:ind w:left="3226" w:hanging="360"/>
      </w:pPr>
      <w:rPr>
        <w:rFonts w:hint="default"/>
        <w:lang w:val="tr-TR" w:eastAsia="en-US" w:bidi="ar-SA"/>
      </w:rPr>
    </w:lvl>
    <w:lvl w:ilvl="4" w:tplc="53F6694A">
      <w:numFmt w:val="bullet"/>
      <w:lvlText w:val="•"/>
      <w:lvlJc w:val="left"/>
      <w:pPr>
        <w:ind w:left="4210" w:hanging="360"/>
      </w:pPr>
      <w:rPr>
        <w:rFonts w:hint="default"/>
        <w:lang w:val="tr-TR" w:eastAsia="en-US" w:bidi="ar-SA"/>
      </w:rPr>
    </w:lvl>
    <w:lvl w:ilvl="5" w:tplc="BCB01ED4">
      <w:numFmt w:val="bullet"/>
      <w:lvlText w:val="•"/>
      <w:lvlJc w:val="left"/>
      <w:pPr>
        <w:ind w:left="5193" w:hanging="360"/>
      </w:pPr>
      <w:rPr>
        <w:rFonts w:hint="default"/>
        <w:lang w:val="tr-TR" w:eastAsia="en-US" w:bidi="ar-SA"/>
      </w:rPr>
    </w:lvl>
    <w:lvl w:ilvl="6" w:tplc="1338CF66">
      <w:numFmt w:val="bullet"/>
      <w:lvlText w:val="•"/>
      <w:lvlJc w:val="left"/>
      <w:pPr>
        <w:ind w:left="6177" w:hanging="360"/>
      </w:pPr>
      <w:rPr>
        <w:rFonts w:hint="default"/>
        <w:lang w:val="tr-TR" w:eastAsia="en-US" w:bidi="ar-SA"/>
      </w:rPr>
    </w:lvl>
    <w:lvl w:ilvl="7" w:tplc="0C64CFC2">
      <w:numFmt w:val="bullet"/>
      <w:lvlText w:val="•"/>
      <w:lvlJc w:val="left"/>
      <w:pPr>
        <w:ind w:left="7160" w:hanging="360"/>
      </w:pPr>
      <w:rPr>
        <w:rFonts w:hint="default"/>
        <w:lang w:val="tr-TR" w:eastAsia="en-US" w:bidi="ar-SA"/>
      </w:rPr>
    </w:lvl>
    <w:lvl w:ilvl="8" w:tplc="038A3730">
      <w:numFmt w:val="bullet"/>
      <w:lvlText w:val="•"/>
      <w:lvlJc w:val="left"/>
      <w:pPr>
        <w:ind w:left="8144" w:hanging="360"/>
      </w:pPr>
      <w:rPr>
        <w:rFonts w:hint="default"/>
        <w:lang w:val="tr-T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729"/>
    <w:rsid w:val="002D1C89"/>
    <w:rsid w:val="00542729"/>
    <w:rsid w:val="00AE1801"/>
    <w:rsid w:val="00BF08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ind w:left="253"/>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896"/>
    </w:pPr>
    <w:rPr>
      <w:sz w:val="24"/>
      <w:szCs w:val="24"/>
    </w:rPr>
  </w:style>
  <w:style w:type="paragraph" w:styleId="ListeParagraf">
    <w:name w:val="List Paragraph"/>
    <w:basedOn w:val="Normal"/>
    <w:uiPriority w:val="1"/>
    <w:qFormat/>
    <w:pPr>
      <w:ind w:left="896" w:hanging="360"/>
    </w:pPr>
  </w:style>
  <w:style w:type="paragraph" w:customStyle="1" w:styleId="TableParagraph">
    <w:name w:val="Table Paragraph"/>
    <w:basedOn w:val="Normal"/>
    <w:uiPriority w:val="1"/>
    <w:qFormat/>
    <w:pPr>
      <w:spacing w:before="12"/>
      <w:ind w:left="113"/>
    </w:pPr>
  </w:style>
  <w:style w:type="paragraph" w:styleId="BalonMetni">
    <w:name w:val="Balloon Text"/>
    <w:basedOn w:val="Normal"/>
    <w:link w:val="BalonMetniChar"/>
    <w:uiPriority w:val="99"/>
    <w:semiHidden/>
    <w:unhideWhenUsed/>
    <w:rsid w:val="00BF0881"/>
    <w:rPr>
      <w:rFonts w:ascii="Tahoma" w:hAnsi="Tahoma" w:cs="Tahoma"/>
      <w:sz w:val="16"/>
      <w:szCs w:val="16"/>
    </w:rPr>
  </w:style>
  <w:style w:type="character" w:customStyle="1" w:styleId="BalonMetniChar">
    <w:name w:val="Balon Metni Char"/>
    <w:basedOn w:val="VarsaylanParagrafYazTipi"/>
    <w:link w:val="BalonMetni"/>
    <w:uiPriority w:val="99"/>
    <w:semiHidden/>
    <w:rsid w:val="00BF0881"/>
    <w:rPr>
      <w:rFonts w:ascii="Tahoma" w:eastAsia="Times New Roman" w:hAnsi="Tahoma" w:cs="Tahoma"/>
      <w:sz w:val="16"/>
      <w:szCs w:val="16"/>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ind w:left="253"/>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896"/>
    </w:pPr>
    <w:rPr>
      <w:sz w:val="24"/>
      <w:szCs w:val="24"/>
    </w:rPr>
  </w:style>
  <w:style w:type="paragraph" w:styleId="ListeParagraf">
    <w:name w:val="List Paragraph"/>
    <w:basedOn w:val="Normal"/>
    <w:uiPriority w:val="1"/>
    <w:qFormat/>
    <w:pPr>
      <w:ind w:left="896" w:hanging="360"/>
    </w:pPr>
  </w:style>
  <w:style w:type="paragraph" w:customStyle="1" w:styleId="TableParagraph">
    <w:name w:val="Table Paragraph"/>
    <w:basedOn w:val="Normal"/>
    <w:uiPriority w:val="1"/>
    <w:qFormat/>
    <w:pPr>
      <w:spacing w:before="12"/>
      <w:ind w:left="113"/>
    </w:pPr>
  </w:style>
  <w:style w:type="paragraph" w:styleId="BalonMetni">
    <w:name w:val="Balloon Text"/>
    <w:basedOn w:val="Normal"/>
    <w:link w:val="BalonMetniChar"/>
    <w:uiPriority w:val="99"/>
    <w:semiHidden/>
    <w:unhideWhenUsed/>
    <w:rsid w:val="00BF0881"/>
    <w:rPr>
      <w:rFonts w:ascii="Tahoma" w:hAnsi="Tahoma" w:cs="Tahoma"/>
      <w:sz w:val="16"/>
      <w:szCs w:val="16"/>
    </w:rPr>
  </w:style>
  <w:style w:type="character" w:customStyle="1" w:styleId="BalonMetniChar">
    <w:name w:val="Balon Metni Char"/>
    <w:basedOn w:val="VarsaylanParagrafYazTipi"/>
    <w:link w:val="BalonMetni"/>
    <w:uiPriority w:val="99"/>
    <w:semiHidden/>
    <w:rsid w:val="00BF0881"/>
    <w:rPr>
      <w:rFonts w:ascii="Tahoma" w:eastAsia="Times New Roman" w:hAnsi="Tahoma" w:cs="Tahoma"/>
      <w:sz w:val="16"/>
      <w:szCs w:val="16"/>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mevzuat.gov.tr/MevzuatMetin/4.5.124.pd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evzuat.gov.tr/MevzuatMetin/4.5.124.pdf" TargetMode="External"/><Relationship Id="rId12" Type="http://schemas.openxmlformats.org/officeDocument/2006/relationships/hyperlink" Target="http://dosyayukleme.ahievran.edu.tr/dosyalar/AEu_Yazisma_Usulleri_ve_imza_Yetkileri_Yonergesi.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yok.gov.tr/Documents/Kurumsal/mevzuat/2547%20say%C4%B1l%C4%B1%20Y%C3%BCksek%C3%B6%C4%9Fretim%20Kanunu.pdf" TargetMode="External"/><Relationship Id="rId5" Type="http://schemas.openxmlformats.org/officeDocument/2006/relationships/webSettings" Target="webSettings.xml"/><Relationship Id="rId10" Type="http://schemas.openxmlformats.org/officeDocument/2006/relationships/hyperlink" Target="https://www.yok.gov.tr/Documents/Kurumsal/mevzuat/2547%20say%C4%B1l%C4%B1%20Y%C3%BCksek%C3%B6%C4%9Fretim%20Kanunu.pdf" TargetMode="External"/><Relationship Id="rId4" Type="http://schemas.openxmlformats.org/officeDocument/2006/relationships/settings" Target="settings.xml"/><Relationship Id="rId9" Type="http://schemas.openxmlformats.org/officeDocument/2006/relationships/hyperlink" Target="https://www.yok.gov.tr/Documents/Kurumsal/mevzuat/2547%20say%C4%B1l%C4%B1%20Y%C3%BCksek%C3%B6%C4%9Fretim%20Kanunu.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525</Words>
  <Characters>2999</Characters>
  <Application>Microsoft Office Word</Application>
  <DocSecurity>0</DocSecurity>
  <Lines>24</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www.contrastegitim.com</dc:creator>
  <cp:lastModifiedBy>Acer</cp:lastModifiedBy>
  <cp:revision>2</cp:revision>
  <dcterms:created xsi:type="dcterms:W3CDTF">2021-03-15T13:19:00Z</dcterms:created>
  <dcterms:modified xsi:type="dcterms:W3CDTF">2021-03-15T13:19:00Z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2019-02-14T00:00:00Z</vt:filetime>
  </property>
  <property fmtid="{D5CDD505-2E9C-101B-9397-08002B2CF9AE}" pid="3" name="Creator">
    <vt:lpwstr>Microsoft® Word 2016</vt:lpwstr>
  </property>
  <property fmtid="{D5CDD505-2E9C-101B-9397-08002B2CF9AE}" pid="4" name="LastSaved">
    <vt:filetime>2020-01-17T00:00:00Z</vt:filetime>
  </property>
</Properties>
</file>